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entury Gothic" w:cs="Century Gothic" w:eastAsia="Century Gothic" w:hAnsi="Century Gothic"/>
          <w:sz w:val="20"/>
          <w:szCs w:val="20"/>
        </w:rPr>
        <w:t xml:space="preserve"/>
      </w:r>
    </w:p>
    <w:p>
      <w:pPr>
        <w:spacing w:after="120"/>
      </w:pPr>
      <w:r>
        <w:rPr>
          <w:rFonts w:ascii="Century Gothic" w:cs="Century Gothic" w:eastAsia="Century Gothic" w:hAnsi="Century Gothic"/>
          <w:sz w:val="20"/>
          <w:szCs w:val="20"/>
        </w:rPr>
        <w:t xml:space="preserve"/>
      </w:r>
    </w:p>
    <w:p>
      <w:pPr>
        <w:spacing w:after="120"/>
      </w:pPr>
      <w:r>
        <w:rPr>
          <w:rFonts w:ascii="Century Gothic" w:cs="Century Gothic" w:eastAsia="Century Gothic" w:hAnsi="Century Gothic"/>
          <w:sz w:val="20"/>
          <w:szCs w:val="20"/>
        </w:rPr>
        <w:t xml:space="preserve"/>
      </w:r>
    </w:p>
    <w:p>
      <w:pPr>
        <w:spacing w:after="0"/>
        <w:jc w:val="right"/>
      </w:pPr>
      <w:r>
        <w:rPr>
          <w:rFonts w:ascii="Century Gothic" w:cs="Century Gothic" w:eastAsia="Century Gothic" w:hAnsi="Century Gothic"/>
          <w:color w:val="7F7F7F"/>
          <w:sz w:val="36"/>
          <w:szCs w:val="36"/>
        </w:rPr>
        <w:t xml:space="preserve">MANUAL TÉCNICO</w:t>
      </w:r>
    </w:p>
    <w:p>
      <w:pPr>
        <w:spacing w:after="0"/>
        <w:jc w:val="right"/>
      </w:pPr>
      <w:r>
        <w:rPr>
          <w:rFonts w:ascii="Century Gothic" w:cs="Century Gothic" w:eastAsia="Century Gothic" w:hAnsi="Century Gothic"/>
          <w:color w:val="000000"/>
          <w:sz w:val="44"/>
          <w:szCs w:val="44"/>
        </w:rPr>
        <w:t xml:space="preserve">NUEVAS FUNCIONALIDADES</w:t>
      </w:r>
    </w:p>
    <w:p>
      <w:pPr>
        <w:spacing w:after="1200"/>
        <w:jc w:val="right"/>
      </w:pPr>
      <w:r>
        <w:rPr>
          <w:rFonts w:ascii="Century Gothic" w:cs="Century Gothic" w:eastAsia="Century Gothic" w:hAnsi="Century Gothic"/>
          <w:color w:val="000000"/>
          <w:sz w:val="44"/>
          <w:szCs w:val="44"/>
        </w:rPr>
        <w:t xml:space="preserve">PARA ALDEBARAN WEB</w:t>
      </w:r>
    </w:p>
    <w:p>
      <w:pPr>
        <w:spacing w:after="0"/>
        <w:jc w:val="right"/>
      </w:pPr>
      <w:r>
        <w:rPr>
          <w:rFonts w:ascii="Century Gothic" w:cs="Century Gothic" w:eastAsia="Century Gothic" w:hAnsi="Century Gothic"/>
          <w:color w:val="000000"/>
          <w:sz w:val="30"/>
          <w:szCs w:val="30"/>
        </w:rPr>
        <w:t xml:space="preserve">Complemento Consulta de Logs, Marca $ BOMBA,</w:t>
      </w:r>
    </w:p>
    <w:p>
      <w:pPr>
        <w:spacing w:after="1600"/>
        <w:jc w:val="right"/>
      </w:pPr>
      <w:r>
        <w:rPr>
          <w:rFonts w:ascii="Century Gothic" w:cs="Century Gothic" w:eastAsia="Century Gothic" w:hAnsi="Century Gothic"/>
          <w:color w:val="000000"/>
          <w:sz w:val="30"/>
          <w:szCs w:val="30"/>
        </w:rPr>
        <w:t xml:space="preserve">Pedido Especial y Generador de Consecutivos</w:t>
      </w:r>
    </w:p>
    <w:p>
      <w:pPr>
        <w:spacing w:after="0"/>
        <w:jc w:val="center"/>
      </w:pPr>
      <w:r>
        <w:rPr>
          <w:rFonts w:ascii="Century Gothic" w:cs="Century Gothic" w:eastAsia="Century Gothic" w:hAnsi="Century Gothic"/>
          <w:color w:val="7F7F7F"/>
          <w:sz w:val="32"/>
          <w:szCs w:val="32"/>
        </w:rPr>
        <w:t xml:space="preserve">Para</w:t>
      </w:r>
    </w:p>
    <w:p>
      <w:pPr>
        <w:spacing w:after="2000"/>
        <w:jc w:val="center"/>
      </w:pPr>
      <w:r>
        <w:rPr>
          <w:rFonts w:ascii="Century Gothic" w:cs="Century Gothic" w:eastAsia="Century Gothic" w:hAnsi="Century Gothic"/>
          <w:color w:val="000000"/>
          <w:sz w:val="40"/>
          <w:szCs w:val="40"/>
        </w:rPr>
        <w:t xml:space="preserve">PROMOS</w:t>
      </w:r>
    </w:p>
    <w:p>
      <w:pPr>
        <w:spacing w:after="0"/>
        <w:jc w:val="center"/>
      </w:pPr>
      <w:r>
        <w:rPr>
          <w:rFonts w:ascii="Century Gothic" w:cs="Century Gothic" w:eastAsia="Century Gothic" w:hAnsi="Century Gothic"/>
          <w:color w:val="000000"/>
          <w:sz w:val="20"/>
          <w:szCs w:val="20"/>
        </w:rPr>
        <w:t xml:space="preserve">Bogotá, octubre de 2026</w:t>
      </w:r>
    </w:p>
    <w:p>
      <w:r>
        <w:br w:type="page"/>
      </w:r>
    </w:p>
    <w:p>
      <w:pPr>
        <w:spacing w:after="120"/>
      </w:pPr>
      <w:r>
        <w:rPr>
          <w:rFonts w:ascii="Century Gothic" w:cs="Century Gothic" w:eastAsia="Century Gothic" w:hAnsi="Century Gothic"/>
          <w:color w:val="215E99"/>
          <w:sz w:val="28"/>
          <w:szCs w:val="28"/>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360"/>
      </w:pPr>
      <w:r>
        <w:rPr>
          <w:rFonts w:ascii="Century Gothic" w:cs="Century Gothic" w:eastAsia="Century Gothic" w:hAnsi="Century Gothic"/>
          <w:color w:val="215E99"/>
          <w:sz w:val="28"/>
          <w:szCs w:val="28"/>
        </w:rPr>
        <w:t xml:space="preserve">ALCANCE</w:t>
      </w:r>
    </w:p>
    <w:p>
      <w:pPr>
        <w:spacing w:after="120" w:line="276"/>
      </w:pPr>
      <w:r>
        <w:rPr>
          <w:rFonts w:ascii="Century Gothic" w:cs="Century Gothic" w:eastAsia="Century Gothic" w:hAnsi="Century Gothic"/>
          <w:sz w:val="20"/>
          <w:szCs w:val="20"/>
        </w:rPr>
        <w:t xml:space="preserve">Documenta la solución técnica del requerimiento (rama </w:t>
      </w:r>
      <w:r>
        <w:rPr>
          <w:rFonts w:ascii="Century Gothic" w:cs="Century Gothic" w:eastAsia="Century Gothic" w:hAnsi="Century Gothic"/>
          <w:b/>
          <w:bCs/>
          <w:sz w:val="20"/>
          <w:szCs w:val="20"/>
        </w:rPr>
        <w:t xml:space="preserve">RQM-ComplementoLogs+SaleOff</w:t>
      </w:r>
      <w:r>
        <w:rPr>
          <w:rFonts w:ascii="Century Gothic" w:cs="Century Gothic" w:eastAsia="Century Gothic" w:hAnsi="Century Gothic"/>
          <w:sz w:val="20"/>
          <w:szCs w:val="20"/>
        </w:rPr>
        <w:t xml:space="preserve">), que se publica en </w:t>
      </w:r>
      <w:r>
        <w:rPr>
          <w:rFonts w:ascii="Century Gothic" w:cs="Century Gothic" w:eastAsia="Century Gothic" w:hAnsi="Century Gothic"/>
          <w:b/>
          <w:bCs/>
          <w:sz w:val="20"/>
          <w:szCs w:val="20"/>
        </w:rPr>
        <w:t xml:space="preserve">una sola entrega</w:t>
      </w:r>
      <w:r>
        <w:rPr>
          <w:rFonts w:ascii="Century Gothic" w:cs="Century Gothic" w:eastAsia="Century Gothic" w:hAnsi="Century Gothic"/>
          <w:sz w:val="20"/>
          <w:szCs w:val="20"/>
        </w:rPr>
        <w:t xml:space="preserve"> con cuatro requerimientos: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560"/>
        <w:gridCol w:w="1400"/>
      </w:tblGrid>
      <w:tr>
        <w:trPr>
          <w:tblHeader/>
        </w:trPr>
        <w:tc>
          <w:tcPr>
            <w:tcW w:type="dxa" w:w="24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Requerimiento</w:t>
            </w:r>
          </w:p>
        </w:tc>
        <w:tc>
          <w:tcPr>
            <w:tcW w:type="dxa" w:w="55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Contenido técnico</w:t>
            </w:r>
          </w:p>
        </w:tc>
        <w:tc>
          <w:tcPr>
            <w:tcW w:type="dxa" w:w="14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Scripts</w:t>
            </w:r>
          </w:p>
        </w:tc>
      </w:tr>
      <w:tr>
        <w:tc>
          <w:tcPr>
            <w:tcW w:type="dxa" w:w="2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 Logs</w:t>
            </w:r>
          </w:p>
        </w:tc>
        <w:tc>
          <w:tcPr>
            <w:tcW w:type="dxa" w:w="55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Visualización de alarmas (filtro por empleado y quiénes la visualizaron), log de alarmas de inventario, Track por entidad/objeto con ofuscación, logs de despachos y traslados, ajustes y tolerancias de OC, Log general (incluye Autómata de Existencias).</w:t>
            </w:r>
          </w:p>
        </w:tc>
        <w:tc>
          <w:tcPr>
            <w:tcW w:type="dxa" w:w="1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01–13, 15</w:t>
            </w:r>
          </w:p>
        </w:tc>
      </w:tr>
      <w:tr>
        <w:tc>
          <w:tcPr>
            <w:tcW w:type="dxa" w:w="2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2. Marca $ BOMBA</w:t>
            </w:r>
          </w:p>
        </w:tc>
        <w:tc>
          <w:tcPr>
            <w:tcW w:type="dxa" w:w="55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Marca Precio bomba en artículos (excluyente con Oferta), etiqueta en alarma/Excel de mínimos y filtros Sí/No/Todos en reportes.</w:t>
            </w:r>
          </w:p>
        </w:tc>
        <w:tc>
          <w:tcPr>
            <w:tcW w:type="dxa" w:w="1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14, 16</w:t>
            </w:r>
          </w:p>
        </w:tc>
      </w:tr>
      <w:tr>
        <w:tc>
          <w:tcPr>
            <w:tcW w:type="dxa" w:w="2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3. Pedido especial</w:t>
            </w:r>
          </w:p>
        </w:tc>
        <w:tc>
          <w:tcPr>
            <w:tcW w:type="dxa" w:w="55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Marca en el pedido, lista, detalle, resumen, reportes y exportaciones, logs, tablero, despachos y traslados.</w:t>
            </w:r>
          </w:p>
        </w:tc>
        <w:tc>
          <w:tcPr>
            <w:tcW w:type="dxa" w:w="1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17, 18, 19</w:t>
            </w:r>
          </w:p>
        </w:tc>
      </w:tr>
      <w:tr>
        <w:tc>
          <w:tcPr>
            <w:tcW w:type="dxa" w:w="2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4. Generador de consecutivos de referencia</w:t>
            </w:r>
          </w:p>
        </w:tc>
        <w:tc>
          <w:tcPr>
            <w:tcW w:type="dxa" w:w="55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Sugerencia de referencias internas CÓDIGO-NNN libres.</w:t>
            </w:r>
          </w:p>
        </w:tc>
        <w:tc>
          <w:tcPr>
            <w:tcW w:type="dxa" w:w="1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20</w:t>
            </w:r>
          </w:p>
        </w:tc>
      </w:tr>
    </w:tbl>
    <w:p>
      <w:pPr>
        <w:spacing w:after="120" w:line="276"/>
      </w:pPr>
      <w:r>
        <w:rPr>
          <w:rFonts w:ascii="Century Gothic" w:cs="Century Gothic" w:eastAsia="Century Gothic" w:hAnsi="Century Gothic"/>
          <w:sz w:val="20"/>
          <w:szCs w:val="20"/>
        </w:rPr>
        <w:t xml:space="preserve">Incluye objetos de base de datos, componentes por capa, seguridad, despliegue, reversa y soporte.</w:t>
      </w:r>
    </w:p>
    <w:p>
      <w:pPr>
        <w:pStyle w:val="Heading1"/>
        <w:spacing w:after="120" w:before="360"/>
      </w:pPr>
      <w:r>
        <w:rPr>
          <w:rFonts w:ascii="Century Gothic" w:cs="Century Gothic" w:eastAsia="Century Gothic" w:hAnsi="Century Gothic"/>
          <w:color w:val="215E99"/>
          <w:sz w:val="28"/>
          <w:szCs w:val="28"/>
        </w:rPr>
        <w:t xml:space="preserve">ARQUITECTURA</w:t>
      </w:r>
    </w:p>
    <w:p>
      <w:pPr>
        <w:spacing w:after="120" w:line="276"/>
      </w:pPr>
      <w:r>
        <w:rPr>
          <w:rFonts w:ascii="Century Gothic" w:cs="Century Gothic" w:eastAsia="Century Gothic" w:hAnsi="Century Gothic"/>
          <w:sz w:val="20"/>
          <w:szCs w:val="20"/>
        </w:rPr>
        <w:t xml:space="preserve">La solución respeta la arquitectura existente de Aldebarán Web (Blazor Server + Radzen, .NET, Entity Framework Core 7, SQL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Capa / proyecto</w:t>
            </w:r>
          </w:p>
        </w:tc>
        <w:tc>
          <w:tcPr>
            <w:tcW w:type="dxa" w:w="61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Responsabilidad</w:t>
            </w:r>
          </w:p>
        </w:tc>
      </w:tr>
      <w:tr>
        <w:tc>
          <w:tcPr>
            <w:tcW w:type="dxa" w:w="3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Aldebaran.Web</w:t>
            </w:r>
          </w:p>
        </w:tc>
        <w:tc>
          <w:tcPr>
            <w:tcW w:type="dxa" w:w="6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Pantallas Razor, view models de pantalla, menú (Shared/MainLayout.razor) y controladores de exportación. No conoce la capa de datos.</w:t>
            </w:r>
          </w:p>
        </w:tc>
      </w:tr>
      <w:tr>
        <w:tc>
          <w:tcPr>
            <w:tcW w:type="dxa" w:w="3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Aldebaran.Application.Services</w:t>
            </w:r>
          </w:p>
        </w:tc>
        <w:tc>
          <w:tcPr>
            <w:tcW w:type="dxa" w:w="61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Casos de uso: servicios, modelos por caso de uso, filtros tipados, validaciones y mapeo (AutoMapper, ApplicationServicesProfile).</w:t>
            </w:r>
          </w:p>
        </w:tc>
      </w:tr>
      <w:tr>
        <w:tc>
          <w:tcPr>
            <w:tcW w:type="dxa" w:w="3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Aldebaran.DataAccess</w:t>
            </w:r>
          </w:p>
        </w:tc>
        <w:tc>
          <w:tcPr>
            <w:tcW w:type="dxa" w:w="6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Entidades, configuración EF, AldebaranDbContext (TrackEntities) y triggers EF de inventario.</w:t>
            </w:r>
          </w:p>
        </w:tc>
      </w:tr>
      <w:tr>
        <w:tc>
          <w:tcPr>
            <w:tcW w:type="dxa" w:w="3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Aldebaran.DataAccess.Infraestructure</w:t>
            </w:r>
          </w:p>
        </w:tc>
        <w:tc>
          <w:tcPr>
            <w:tcW w:type="dxa" w:w="61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Repositorios. Los SP se llaman con StoredProcedureCommand (parámetros SqlParameter nombrados).</w:t>
            </w:r>
          </w:p>
        </w:tc>
      </w:tr>
      <w:tr>
        <w:tc>
          <w:tcPr>
            <w:tcW w:type="dxa" w:w="3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SQL Server</w:t>
            </w:r>
          </w:p>
        </w:tc>
        <w:tc>
          <w:tcPr>
            <w:tcW w:type="dxa" w:w="6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Tablas, vistas, SP, triggers y job de alarmas. Scripts en scripts\RQM Complemento Consulta de Logs.</w:t>
            </w:r>
          </w:p>
        </w:tc>
      </w:tr>
    </w:tbl>
    <w:p>
      <w:pPr>
        <w:pStyle w:val="Heading2"/>
        <w:spacing w:after="100" w:before="240"/>
      </w:pPr>
      <w:r>
        <w:rPr>
          <w:rFonts w:ascii="Century Gothic" w:cs="Century Gothic" w:eastAsia="Century Gothic" w:hAnsi="Century Gothic"/>
          <w:b/>
          <w:bCs/>
          <w:color w:val="0F4761"/>
          <w:sz w:val="24"/>
          <w:szCs w:val="24"/>
        </w:rPr>
        <w:t xml:space="preserve">Criterios aplicados</w:t>
      </w:r>
    </w:p>
    <w:p>
      <w:pPr>
        <w:pStyle w:val="ListParagraph"/>
        <w:numPr>
          <w:ilvl w:val="0"/>
          <w:numId w:val="2"/>
        </w:numPr>
        <w:spacing w:after="60"/>
      </w:pPr>
      <w:r>
        <w:rPr>
          <w:rFonts w:ascii="Century Gothic" w:cs="Century Gothic" w:eastAsia="Century Gothic" w:hAnsi="Century Gothic"/>
          <w:b/>
          <w:bCs/>
          <w:sz w:val="20"/>
          <w:szCs w:val="20"/>
        </w:rPr>
        <w:t xml:space="preserve">Clean Architecture:</w:t>
      </w:r>
      <w:r>
        <w:rPr>
          <w:rFonts w:ascii="Century Gothic" w:cs="Century Gothic" w:eastAsia="Century Gothic" w:hAnsi="Century Gothic"/>
          <w:sz w:val="20"/>
          <w:szCs w:val="20"/>
        </w:rPr>
        <w:t xml:space="preserve"> la UI solo llama servicios de Application; los modelos se definen por caso de uso.</w:t>
      </w:r>
    </w:p>
    <w:p>
      <w:pPr>
        <w:pStyle w:val="ListParagraph"/>
        <w:numPr>
          <w:ilvl w:val="0"/>
          <w:numId w:val="2"/>
        </w:numPr>
        <w:spacing w:after="60"/>
      </w:pPr>
      <w:r>
        <w:rPr>
          <w:rFonts w:ascii="Century Gothic" w:cs="Century Gothic" w:eastAsia="Century Gothic" w:hAnsi="Century Gothic"/>
          <w:b/>
          <w:bCs/>
          <w:sz w:val="20"/>
          <w:szCs w:val="20"/>
        </w:rPr>
        <w:t xml:space="preserve">SQL siempre parametrizado:</w:t>
      </w:r>
      <w:r>
        <w:rPr>
          <w:rFonts w:ascii="Century Gothic" w:cs="Century Gothic" w:eastAsia="Century Gothic" w:hAnsi="Century Gothic"/>
          <w:sz w:val="20"/>
          <w:szCs w:val="20"/>
        </w:rPr>
        <w:t xml:space="preserve"> StoredProcedureCommand arma `EXEC SP @p = @p` con SqlParameter tipados; los parámetros nulos no se envían y el SP aplica su valor por defecto. Nunca se concatena SQL.</w:t>
      </w:r>
    </w:p>
    <w:p>
      <w:pPr>
        <w:pStyle w:val="ListParagraph"/>
        <w:numPr>
          <w:ilvl w:val="0"/>
          <w:numId w:val="2"/>
        </w:numPr>
        <w:spacing w:after="60"/>
      </w:pPr>
      <w:r>
        <w:rPr>
          <w:rFonts w:ascii="Century Gothic" w:cs="Century Gothic" w:eastAsia="Century Gothic" w:hAnsi="Century Gothic"/>
          <w:b/>
          <w:bCs/>
          <w:sz w:val="20"/>
          <w:szCs w:val="20"/>
        </w:rPr>
        <w:t xml:space="preserve">Filtros tipados:</w:t>
      </w:r>
      <w:r>
        <w:rPr>
          <w:rFonts w:ascii="Century Gothic" w:cs="Century Gothic" w:eastAsia="Century Gothic" w:hAnsi="Century Gothic"/>
          <w:sz w:val="20"/>
          <w:szCs w:val="20"/>
        </w:rPr>
        <w:t xml:space="preserve"> cada reporte tocado recibe una clase de filtro (por ejemplo CustomerOrderReportFilter) en lugar de una cadena.</w:t>
      </w:r>
    </w:p>
    <w:p>
      <w:pPr>
        <w:pStyle w:val="ListParagraph"/>
        <w:numPr>
          <w:ilvl w:val="0"/>
          <w:numId w:val="2"/>
        </w:numPr>
        <w:spacing w:after="60"/>
      </w:pPr>
      <w:r>
        <w:rPr>
          <w:rFonts w:ascii="Century Gothic" w:cs="Century Gothic" w:eastAsia="Century Gothic" w:hAnsi="Century Gothic"/>
          <w:b/>
          <w:bCs/>
          <w:sz w:val="20"/>
          <w:szCs w:val="20"/>
        </w:rPr>
        <w:t xml:space="preserve">Codificación:</w:t>
      </w:r>
      <w:r>
        <w:rPr>
          <w:rFonts w:ascii="Century Gothic" w:cs="Century Gothic" w:eastAsia="Century Gothic" w:hAnsi="Century Gothic"/>
          <w:sz w:val="20"/>
          <w:szCs w:val="20"/>
        </w:rPr>
        <w:t xml:space="preserve"> archivos nuevos o tocados en UTF-8 sin BOM con CRLF (el repositorio normaliza a LF; el checkout de Windows con autocrlf los deja en CRLF).</w:t>
      </w:r>
    </w:p>
    <w:p>
      <w:pPr>
        <w:pStyle w:val="ListParagraph"/>
        <w:numPr>
          <w:ilvl w:val="0"/>
          <w:numId w:val="2"/>
        </w:numPr>
        <w:spacing w:after="60"/>
      </w:pPr>
      <w:r>
        <w:rPr>
          <w:rFonts w:ascii="Century Gothic" w:cs="Century Gothic" w:eastAsia="Century Gothic" w:hAnsi="Century Gothic"/>
          <w:b/>
          <w:bCs/>
          <w:sz w:val="20"/>
          <w:szCs w:val="20"/>
        </w:rPr>
        <w:t xml:space="preserve">Filtros Sí/No/Todos:</w:t>
      </w:r>
      <w:r>
        <w:rPr>
          <w:rFonts w:ascii="Century Gothic" w:cs="Century Gothic" w:eastAsia="Century Gothic" w:hAnsi="Century Gothic"/>
          <w:sz w:val="20"/>
          <w:szCs w:val="20"/>
        </w:rPr>
        <w:t xml:space="preserve"> RadzenCheckBox TriState TValue="bool?" (null = Todos).</w:t>
      </w:r>
    </w:p>
    <w:p>
      <w:pPr>
        <w:pStyle w:val="ListParagraph"/>
        <w:numPr>
          <w:ilvl w:val="0"/>
          <w:numId w:val="2"/>
        </w:numPr>
        <w:spacing w:after="60"/>
      </w:pPr>
      <w:r>
        <w:rPr>
          <w:rFonts w:ascii="Century Gothic" w:cs="Century Gothic" w:eastAsia="Century Gothic" w:hAnsi="Century Gothic"/>
          <w:b/>
          <w:bCs/>
          <w:sz w:val="20"/>
          <w:szCs w:val="20"/>
        </w:rPr>
        <w:t xml:space="preserve">Componentes compartidos sin modificar</w:t>
      </w:r>
      <w:r>
        <w:rPr>
          <w:rFonts w:ascii="Century Gothic" w:cs="Century Gothic" w:eastAsia="Century Gothic" w:hAnsi="Century Gothic"/>
          <w:sz w:val="20"/>
          <w:szCs w:val="20"/>
        </w:rPr>
        <w:t xml:space="preserve"> (por ejemplo MultiReferencePicker).</w:t>
      </w:r>
    </w:p>
    <w:p>
      <w:pPr>
        <w:pStyle w:val="Heading1"/>
        <w:spacing w:after="120" w:before="360"/>
      </w:pPr>
      <w:r>
        <w:rPr>
          <w:rFonts w:ascii="Century Gothic" w:cs="Century Gothic" w:eastAsia="Century Gothic" w:hAnsi="Century Gothic"/>
          <w:color w:val="215E99"/>
          <w:sz w:val="28"/>
          <w:szCs w:val="28"/>
        </w:rPr>
        <w:t xml:space="preserve">BASE DE DATOS</w:t>
      </w:r>
    </w:p>
    <w:p>
      <w:pPr>
        <w:pStyle w:val="Heading2"/>
        <w:spacing w:after="100" w:before="240"/>
      </w:pPr>
      <w:r>
        <w:rPr>
          <w:rFonts w:ascii="Century Gothic" w:cs="Century Gothic" w:eastAsia="Century Gothic" w:hAnsi="Century Gothic"/>
          <w:b/>
          <w:bCs/>
          <w:color w:val="0F4761"/>
          <w:sz w:val="24"/>
          <w:szCs w:val="24"/>
        </w:rPr>
        <w:t xml:space="preserve">Scripts de despliegue</w:t>
      </w:r>
    </w:p>
    <w:p>
      <w:pPr>
        <w:spacing w:after="120" w:line="276"/>
      </w:pPr>
      <w:r>
        <w:rPr>
          <w:rFonts w:ascii="Century Gothic" w:cs="Century Gothic" w:eastAsia="Century Gothic" w:hAnsi="Century Gothic"/>
          <w:sz w:val="20"/>
          <w:szCs w:val="20"/>
        </w:rPr>
        <w:t xml:space="preserve">Carpeta </w:t>
      </w:r>
      <w:r>
        <w:rPr>
          <w:rFonts w:ascii="Century Gothic" w:cs="Century Gothic" w:eastAsia="Century Gothic" w:hAnsi="Century Gothic"/>
          <w:b/>
          <w:bCs/>
          <w:sz w:val="20"/>
          <w:szCs w:val="20"/>
        </w:rPr>
        <w:t xml:space="preserve">Despliegue\</w:t>
      </w:r>
      <w:r>
        <w:rPr>
          <w:rFonts w:ascii="Century Gothic" w:cs="Century Gothic" w:eastAsia="Century Gothic" w:hAnsi="Century Gothic"/>
          <w:sz w:val="20"/>
          <w:szCs w:val="20"/>
        </w:rPr>
        <w:t xml:space="preserve">. Todos son re-ejecutables. El orden y las notas están en </w:t>
      </w:r>
      <w:r>
        <w:rPr>
          <w:rFonts w:ascii="Century Gothic" w:cs="Century Gothic" w:eastAsia="Century Gothic" w:hAnsi="Century Gothic"/>
          <w:b/>
          <w:bCs/>
          <w:sz w:val="20"/>
          <w:szCs w:val="20"/>
        </w:rPr>
        <w:t xml:space="preserve">LEEME - Orden de despliegue.txt</w:t>
      </w:r>
      <w:r>
        <w:rPr>
          <w:rFonts w:ascii="Century Gothic" w:cs="Century Gothic" w:eastAsia="Century Gothic" w:hAnsi="Century Gothic"/>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5660"/>
      </w:tblGrid>
      <w:tr>
        <w:trPr>
          <w:tblHeader/>
        </w:trPr>
        <w:tc>
          <w:tcPr>
            <w:tcW w:type="dxa" w:w="26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Script</w:t>
            </w:r>
          </w:p>
        </w:tc>
        <w:tc>
          <w:tcPr>
            <w:tcW w:type="dxa" w:w="11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Tarea</w:t>
            </w:r>
          </w:p>
        </w:tc>
        <w:tc>
          <w:tcPr>
            <w:tcW w:type="dxa" w:w="56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Contenido</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01 - Indices Log y Track</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Columnas calculadas no persistidas (TEMPLATE_HASH, LEVEL_KEY, ENTITY_KEY_HASH) e índices IX_Logs_TimeStamp, IX_Logs_Template_TimeStamp, IX_track_Entity_Date, IX_track_Entity_Key.</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02 - Ofuscar historico Track</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T2</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Enmascara credenciales en el histórico de log.track (por lotes) y verifica con OUTER APPLY que no queden valores sin ofuscar.</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03 - Consulta visualizacion de alarmas</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T3</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ALARM_VISUALIZATION_LOG_TYPES, VW_ALARM_LOG, VW_ALARM_LOG_VISUALIZATIONS, SP_GET_ALARM_LOG (@EmployeeId; solo alarmas visualizadas), SP_GET_ALARM_LOG_VISUALIZERS y roles nuevos.</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04 - Alarmas inventario estandar y log</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T3b/T19</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INVENTORY_ALARM_LOG; SP_Set_Minimum_Quantity_Alarm, SP_Set_Out_Of_Stock_Alarm y triggers con @SOURCE; respaldo en RQM_LOGS_OBJECT_BACKUP.</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05 - Job verificacion alarmas log</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T3c</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Pasos del job 'Verificacion Alarmas' registran sus inactivaciones (requiere permisos en msdb).</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06 - Consulta log alarmas inventario</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T4</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SP_GET_INVENTORY_ALARM_LOG.</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07 / 08 / 09 - Track</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T6/T6b/T6c</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Catálogo de entidades, índice de objetos de negocio (LOG_TRACK_OBJECTS, trigger y carga histórica ~5 min por 1,2 M de movimientos), nombres de campo en español.</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10 - Logs despachos y traslados</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T10–T13</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SP_GET_ORDER_DOCUMENT_LOG.</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11 - Logs ordenes de compra</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T14a/b</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SP_GET_PURCHASE_ORDER_ADJUSTMENT_LOG y SP_GET_APPROVAL_RANGE_LOG.</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12 - Log general</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T15</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SP_GET_GENERAL_LOG_GROUPS / OCCURRENCES / DETAIL / SOURCES.</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13 - Log automata existencias</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T15b</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log.SP_INSERT_AUTOMATA_EXISTENCIAS_LOG (+ NLog.config del autómata).</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14 - Marca precio bomba</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T8</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items.IS_BOMB_PRICE y columna IsBombPrice en SP_GET_MINIMUM_QUANTITY_ALARMS.</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15 - Estado log ajustes OC</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T18</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Corrige el estado en PURCHASE_ORDER_ADJUSTMENT_LOG (con respaldo).</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16 - Precio bomba en reportes</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T20–T22b</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Filtros de tres estados en SP de Artículos y referencias, Stock mínimo y Movimiento de referencia. Se despliega con la app.</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17 - Pedido especial</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T23</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customer_orders.IS_SPECIAL_ORDER BIT NOT NULL DEFAULT 0 y nombre en Track.</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18 - Pedido especial en reportes</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T26</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@IsSpecialOrder y columna IsSpecialOrder en 8 SP de reportes de pedidos. Se despliega con la app.</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19 - Pedido especial en logs de despachos y traslados</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T27</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Columna IS_SPECIAL_ORDER en SP_GET_ORDER_DOCUMENT_LOG. Se despliega con la app.</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20 - Consecutivos de referencia interna</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T31</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INTERNAL_REFERENCE_CODES y INTERNAL_REFERENCE_CONSECUTIVES (CODE varchar(5); solo sugerencias disponibles), FN_INTERNAL_REFERENCE_CODE_REFERENCES, FN_INTERNAL_REFERENCE_USED_CONSECUTIVES, SP de no conformes, depuración, consulta y generación. Re-ejecutable; sobre la versión anterior (CODE varchar(6)) ajusta las columnas.</w:t>
            </w:r>
          </w:p>
        </w:tc>
      </w:tr>
    </w:tbl>
    <w:p>
      <w:pPr>
        <w:pStyle w:val="Heading2"/>
        <w:spacing w:after="100" w:before="240"/>
      </w:pPr>
      <w:r>
        <w:rPr>
          <w:rFonts w:ascii="Century Gothic" w:cs="Century Gothic" w:eastAsia="Century Gothic" w:hAnsi="Century Gothic"/>
          <w:b/>
          <w:bCs/>
          <w:color w:val="0F4761"/>
          <w:sz w:val="24"/>
          <w:szCs w:val="24"/>
        </w:rPr>
        <w:t xml:space="preserve">Respaldo y reversa</w:t>
      </w:r>
    </w:p>
    <w:p>
      <w:pPr>
        <w:spacing w:after="120" w:line="276"/>
      </w:pPr>
      <w:r>
        <w:rPr>
          <w:rFonts w:ascii="Century Gothic" w:cs="Century Gothic" w:eastAsia="Century Gothic" w:hAnsi="Century Gothic"/>
          <w:sz w:val="20"/>
          <w:szCs w:val="20"/>
        </w:rPr>
        <w:t xml:space="preserve">Los SP existentes que se modifican se respaldan la primera vez en </w:t>
      </w:r>
      <w:r>
        <w:rPr>
          <w:rFonts w:ascii="Century Gothic" w:cs="Century Gothic" w:eastAsia="Century Gothic" w:hAnsi="Century Gothic"/>
          <w:b/>
          <w:bCs/>
          <w:sz w:val="20"/>
          <w:szCs w:val="20"/>
        </w:rPr>
        <w:t xml:space="preserve">dbo.RQM_LOGS_OBJECT_BACKUP</w:t>
      </w:r>
      <w:r>
        <w:rPr>
          <w:rFonts w:ascii="Century Gothic" w:cs="Century Gothic" w:eastAsia="Century Gothic" w:hAnsi="Century Gothic"/>
          <w:sz w:val="20"/>
          <w:szCs w:val="20"/>
        </w:rPr>
        <w:t xml:space="preserve"> (OBJECT_NAME, OBJECT_TYPE, DEFINITION, BACKUP_DATE). Los scripts 16 y 18 construyen cada SP </w:t>
      </w:r>
      <w:r>
        <w:rPr>
          <w:rFonts w:ascii="Century Gothic" w:cs="Century Gothic" w:eastAsia="Century Gothic" w:hAnsi="Century Gothic"/>
          <w:b/>
          <w:bCs/>
          <w:sz w:val="20"/>
          <w:szCs w:val="20"/>
        </w:rPr>
        <w:t xml:space="preserve">siempre desde la definición respaldada</w:t>
      </w:r>
      <w:r>
        <w:rPr>
          <w:rFonts w:ascii="Century Gothic" w:cs="Century Gothic" w:eastAsia="Century Gothic" w:hAnsi="Century Gothic"/>
          <w:sz w:val="20"/>
          <w:szCs w:val="20"/>
        </w:rPr>
        <w:t xml:space="preserve"> y validan su estructura con THROW antes de alterarlo; si la estructura no es la esperada, el script se detiene sin cambiar nada.</w:t>
      </w:r>
    </w:p>
    <w:p>
      <w:pPr>
        <w:spacing w:after="120" w:line="276"/>
      </w:pPr>
      <w:r>
        <w:rPr>
          <w:rFonts w:ascii="Century Gothic" w:cs="Century Gothic" w:eastAsia="Century Gothic" w:hAnsi="Century Gothic"/>
          <w:sz w:val="20"/>
          <w:szCs w:val="20"/>
        </w:rPr>
        <w:t xml:space="preserve">Cada script tiene su reversa en </w:t>
      </w:r>
      <w:r>
        <w:rPr>
          <w:rFonts w:ascii="Century Gothic" w:cs="Century Gothic" w:eastAsia="Century Gothic" w:hAnsi="Century Gothic"/>
          <w:b/>
          <w:bCs/>
          <w:sz w:val="20"/>
          <w:szCs w:val="20"/>
        </w:rPr>
        <w:t xml:space="preserve">Despliegue\Reversa\</w:t>
      </w:r>
      <w:r>
        <w:rPr>
          <w:rFonts w:ascii="Century Gothic" w:cs="Century Gothic" w:eastAsia="Century Gothic" w:hAnsi="Century Gothic"/>
          <w:sz w:val="20"/>
          <w:szCs w:val="20"/>
        </w:rPr>
        <w:t xml:space="preserve">, excepto el 02: la ofuscación no se puede deshacer porque los valores originales nunca se guardan. La reversa completa deja la BD como estaba antes del requerimiento. Solo se pierden los datos propios del requerimiento: marcas Pedido especial y Precio bomba, consecutivos sugeridos e historial de los logs nuevos. Los pedidos y artículos se conservan.</w:t>
      </w:r>
    </w:p>
    <w:p>
      <w:pPr>
        <w:pStyle w:val="Heading2"/>
        <w:spacing w:after="100" w:before="240"/>
      </w:pPr>
      <w:r>
        <w:rPr>
          <w:rFonts w:ascii="Century Gothic" w:cs="Century Gothic" w:eastAsia="Century Gothic" w:hAnsi="Century Gothic"/>
          <w:b/>
          <w:bCs/>
          <w:color w:val="0F4761"/>
          <w:sz w:val="24"/>
          <w:szCs w:val="24"/>
        </w:rPr>
        <w:t xml:space="preserve">Objetos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760"/>
      </w:tblGrid>
      <w:tr>
        <w:trPr>
          <w:tblHeader/>
        </w:trPr>
        <w:tc>
          <w:tcPr>
            <w:tcW w:type="dxa" w:w="34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Objeto</w:t>
            </w:r>
          </w:p>
        </w:tc>
        <w:tc>
          <w:tcPr>
            <w:tcW w:type="dxa" w:w="12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Tipo</w:t>
            </w:r>
          </w:p>
        </w:tc>
        <w:tc>
          <w:tcPr>
            <w:tcW w:type="dxa" w:w="47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Uso</w:t>
            </w:r>
          </w:p>
        </w:tc>
      </w:tr>
      <w:tr>
        <w:tc>
          <w:tcPr>
            <w:tcW w:type="dxa" w:w="3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INVENTORY_ALARM_LOG</w:t>
            </w:r>
          </w:p>
        </w:tc>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Tabla</w:t>
            </w:r>
          </w:p>
        </w:tc>
        <w:tc>
          <w:tcPr>
            <w:tcW w:type="dxa" w:w="4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Refrescos (R) e inactivaciones (I) de alarmas de inventario con estado anterior/nuevo, visualizaciones borradas y origen.</w:t>
            </w:r>
          </w:p>
        </w:tc>
      </w:tr>
      <w:tr>
        <w:tc>
          <w:tcPr>
            <w:tcW w:type="dxa" w:w="3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LOG_TRACK_ENTITY_NAMES / LOG_TRACK_FIELD_NAMES</w:t>
            </w:r>
          </w:p>
        </w:tc>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Tablas</w:t>
            </w:r>
          </w:p>
        </w:tc>
        <w:tc>
          <w:tcPr>
            <w:tcW w:type="dxa" w:w="47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Nombres en español de entidades y campos del Track (ENTITY_NAME vacío = general; IS_TECHNICAL oculta llaves internas).</w:t>
            </w:r>
          </w:p>
        </w:tc>
      </w:tr>
      <w:tr>
        <w:tc>
          <w:tcPr>
            <w:tcW w:type="dxa" w:w="3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LOG_TRACK_OBJECTS</w:t>
            </w:r>
          </w:p>
        </w:tc>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Tabla</w:t>
            </w:r>
          </w:p>
        </w:tc>
        <w:tc>
          <w:tcPr>
            <w:tcW w:type="dxa" w:w="4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Índice (tipo de objeto, Id, fecha, movimiento) para buscar en el Track por pedido, OC, artículo, etc. FN_TRACK_OBJECTS solo convierte valores cortos (≤ 20 caracteres): un valor de más de 4000 caracteres, como el mensaje de una plantilla, hacía fallar el trigger.</w:t>
            </w:r>
          </w:p>
        </w:tc>
      </w:tr>
      <w:tr>
        <w:tc>
          <w:tcPr>
            <w:tcW w:type="dxa" w:w="3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RQM_LOGS_OBJECT_BACKUP</w:t>
            </w:r>
          </w:p>
        </w:tc>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Tabla</w:t>
            </w:r>
          </w:p>
        </w:tc>
        <w:tc>
          <w:tcPr>
            <w:tcW w:type="dxa" w:w="47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Definiciones originales para reversa.</w:t>
            </w:r>
          </w:p>
        </w:tc>
      </w:tr>
      <w:tr>
        <w:tc>
          <w:tcPr>
            <w:tcW w:type="dxa" w:w="3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items.IS_BOMB_PRICE</w:t>
            </w:r>
          </w:p>
        </w:tc>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Columna</w:t>
            </w:r>
          </w:p>
        </w:tc>
        <w:tc>
          <w:tcPr>
            <w:tcW w:type="dxa" w:w="4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Marca Precio bomba (excluyente con IS_SALE_OFF; la regla la aplica la aplicación).</w:t>
            </w:r>
          </w:p>
        </w:tc>
      </w:tr>
      <w:tr>
        <w:tc>
          <w:tcPr>
            <w:tcW w:type="dxa" w:w="3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customer_orders.IS_SPECIAL_ORDER</w:t>
            </w:r>
          </w:p>
        </w:tc>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Columna</w:t>
            </w:r>
          </w:p>
        </w:tc>
        <w:tc>
          <w:tcPr>
            <w:tcW w:type="dxa" w:w="47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Marca Pedido especial; default 0.</w:t>
            </w:r>
          </w:p>
        </w:tc>
      </w:tr>
    </w:tbl>
    <w:p>
      <w:pPr>
        <w:pStyle w:val="Heading1"/>
        <w:spacing w:after="120" w:before="360"/>
      </w:pPr>
      <w:r>
        <w:rPr>
          <w:rFonts w:ascii="Century Gothic" w:cs="Century Gothic" w:eastAsia="Century Gothic" w:hAnsi="Century Gothic"/>
          <w:color w:val="215E99"/>
          <w:sz w:val="28"/>
          <w:szCs w:val="28"/>
        </w:rPr>
        <w:t xml:space="preserve">COMPONENTES DE LA APLICACIÓN</w:t>
      </w:r>
    </w:p>
    <w:p>
      <w:pPr>
        <w:pStyle w:val="Heading2"/>
        <w:spacing w:after="100" w:before="240"/>
      </w:pPr>
      <w:r>
        <w:rPr>
          <w:rFonts w:ascii="Century Gothic" w:cs="Century Gothic" w:eastAsia="Century Gothic" w:hAnsi="Century Gothic"/>
          <w:b/>
          <w:bCs/>
          <w:color w:val="0F4761"/>
          <w:sz w:val="24"/>
          <w:szCs w:val="24"/>
        </w:rPr>
        <w:t xml:space="preserve">Requerimiento 1 –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260"/>
      </w:tblGrid>
      <w:tr>
        <w:trPr>
          <w:tblHeader/>
        </w:trPr>
        <w:tc>
          <w:tcPr>
            <w:tcW w:type="dxa" w:w="26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Funcionalidad</w:t>
            </w:r>
          </w:p>
        </w:tc>
        <w:tc>
          <w:tcPr>
            <w:tcW w:type="dxa" w:w="35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Servicio / repositorio</w:t>
            </w:r>
          </w:p>
        </w:tc>
        <w:tc>
          <w:tcPr>
            <w:tcW w:type="dxa" w:w="32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Pantalla (ruta)</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Visualización de alarmas</w:t>
            </w:r>
          </w:p>
        </w:tc>
        <w:tc>
          <w:tcPr>
            <w:tcW w:type="dxa" w:w="3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AlarmLogService / AlarmLogRepository</w:t>
            </w:r>
          </w:p>
        </w:tc>
        <w:tc>
          <w:tcPr>
            <w:tcW w:type="dxa" w:w="3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/alarm_visualization_log/{contexto}</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Log de alarmas de inventario</w:t>
            </w:r>
          </w:p>
        </w:tc>
        <w:tc>
          <w:tcPr>
            <w:tcW w:type="dxa" w:w="3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AlarmLogService</w:t>
            </w:r>
          </w:p>
        </w:tc>
        <w:tc>
          <w:tcPr>
            <w:tcW w:type="dxa" w:w="3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/inventory_alarm_events_log</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Track</w:t>
            </w:r>
          </w:p>
        </w:tc>
        <w:tc>
          <w:tcPr>
            <w:tcW w:type="dxa" w:w="3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TrackLogService / TrackLogRepository</w:t>
            </w:r>
          </w:p>
        </w:tc>
        <w:tc>
          <w:tcPr>
            <w:tcW w:type="dxa" w:w="3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/track_log</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Despachos y traslados</w:t>
            </w:r>
          </w:p>
        </w:tc>
        <w:tc>
          <w:tcPr>
            <w:tcW w:type="dxa" w:w="3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OrderDocumentLogService / OrderDocumentLogRepository</w:t>
            </w:r>
          </w:p>
        </w:tc>
        <w:tc>
          <w:tcPr>
            <w:tcW w:type="dxa" w:w="3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/order_document_log/{tipo}</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Ajustes y tolerancias de OC</w:t>
            </w:r>
          </w:p>
        </w:tc>
        <w:tc>
          <w:tcPr>
            <w:tcW w:type="dxa" w:w="3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PurchaseOrderLogService / PurchaseOrderLogRepository</w:t>
            </w:r>
          </w:p>
        </w:tc>
        <w:tc>
          <w:tcPr>
            <w:tcW w:type="dxa" w:w="3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/purchase_order_adjustment_log, /purchase_order_approval_range_log</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Log general</w:t>
            </w:r>
          </w:p>
        </w:tc>
        <w:tc>
          <w:tcPr>
            <w:tcW w:type="dxa" w:w="3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GeneralLogService / GeneralLogRepository</w:t>
            </w:r>
          </w:p>
        </w:tc>
        <w:tc>
          <w:tcPr>
            <w:tcW w:type="dxa" w:w="3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/general_log</w:t>
            </w:r>
          </w:p>
        </w:tc>
      </w:tr>
    </w:tbl>
    <w:p>
      <w:pPr>
        <w:pStyle w:val="Heading3"/>
        <w:spacing w:after="80" w:before="160"/>
      </w:pPr>
      <w:r>
        <w:rPr>
          <w:rFonts w:ascii="Century Gothic" w:cs="Century Gothic" w:eastAsia="Century Gothic" w:hAnsi="Century Gothic"/>
          <w:b/>
          <w:bCs/>
          <w:color w:val="215E99"/>
          <w:sz w:val="21"/>
          <w:szCs w:val="21"/>
        </w:rPr>
        <w:t xml:space="preserve">Visualización de alarmas</w:t>
      </w:r>
    </w:p>
    <w:p>
      <w:pPr>
        <w:spacing w:after="120" w:line="276"/>
      </w:pPr>
      <w:r>
        <w:rPr>
          <w:rFonts w:ascii="Century Gothic" w:cs="Century Gothic" w:eastAsia="Century Gothic" w:hAnsi="Century Gothic"/>
          <w:sz w:val="20"/>
          <w:szCs w:val="20"/>
        </w:rPr>
        <w:t xml:space="preserve">Pantalla </w:t>
      </w:r>
      <w:r>
        <w:rPr>
          <w:rFonts w:ascii="Century Gothic" w:cs="Century Gothic" w:eastAsia="Century Gothic" w:hAnsi="Century Gothic"/>
          <w:b/>
          <w:bCs/>
          <w:sz w:val="20"/>
          <w:szCs w:val="20"/>
        </w:rPr>
        <w:t xml:space="preserve">AlarmVisualizationLog</w:t>
      </w:r>
      <w:r>
        <w:rPr>
          <w:rFonts w:ascii="Century Gothic" w:cs="Century Gothic" w:eastAsia="Century Gothic" w:hAnsi="Century Gothic"/>
          <w:sz w:val="20"/>
          <w:szCs w:val="20"/>
        </w:rPr>
        <w:t xml:space="preserve">: grilla de alarmas del contexto con filtro de fechas y </w:t>
      </w:r>
      <w:r>
        <w:rPr>
          <w:rFonts w:ascii="Century Gothic" w:cs="Century Gothic" w:eastAsia="Century Gothic" w:hAnsi="Century Gothic"/>
          <w:b/>
          <w:bCs/>
          <w:sz w:val="20"/>
          <w:szCs w:val="20"/>
        </w:rPr>
        <w:t xml:space="preserve">filtro Empleado</w:t>
      </w:r>
      <w:r>
        <w:rPr>
          <w:rFonts w:ascii="Century Gothic" w:cs="Century Gothic" w:eastAsia="Century Gothic" w:hAnsi="Century Gothic"/>
          <w:sz w:val="20"/>
          <w:szCs w:val="20"/>
        </w:rPr>
        <w:t xml:space="preserve"> (lista de SP_GET_ALARM_LOG_VISUALIZERS). Solo se listan alarmas que alguien visualizó (EXISTS sobre VW_ALARM_LOG_VISUALIZATIONS); con empleado, solo las que él visualizó. Al expandir una fila (RowExpand) se carga la subgrilla Empleado / Área / Fecha de visualización. Entidad keyless </w:t>
      </w:r>
      <w:r>
        <w:rPr>
          <w:rFonts w:ascii="Century Gothic" w:cs="Century Gothic" w:eastAsia="Century Gothic" w:hAnsi="Century Gothic"/>
          <w:b/>
          <w:bCs/>
          <w:sz w:val="20"/>
          <w:szCs w:val="20"/>
        </w:rPr>
        <w:t xml:space="preserve">AlarmLogVisualizer</w:t>
      </w:r>
      <w:r>
        <w:rPr>
          <w:rFonts w:ascii="Century Gothic" w:cs="Century Gothic" w:eastAsia="Century Gothic" w:hAnsi="Century Gothic"/>
          <w:sz w:val="20"/>
          <w:szCs w:val="20"/>
        </w:rPr>
        <w:t xml:space="preserve">; AlarmLogService.GetAlarmsAsync(…, employeeId) y GetVisualizersAsync.</w:t>
      </w:r>
    </w:p>
    <w:p>
      <w:pPr>
        <w:pStyle w:val="Heading3"/>
        <w:spacing w:after="80" w:before="160"/>
      </w:pPr>
      <w:r>
        <w:rPr>
          <w:rFonts w:ascii="Century Gothic" w:cs="Century Gothic" w:eastAsia="Century Gothic" w:hAnsi="Century Gothic"/>
          <w:b/>
          <w:bCs/>
          <w:color w:val="215E99"/>
          <w:sz w:val="21"/>
          <w:szCs w:val="21"/>
        </w:rPr>
        <w:t xml:space="preserve">Ofuscación en el Track</w:t>
      </w:r>
    </w:p>
    <w:p>
      <w:pPr>
        <w:spacing w:after="120" w:line="276"/>
      </w:pPr>
      <w:r>
        <w:rPr>
          <w:rFonts w:ascii="Century Gothic" w:cs="Century Gothic" w:eastAsia="Century Gothic" w:hAnsi="Century Gothic"/>
          <w:sz w:val="20"/>
          <w:szCs w:val="20"/>
        </w:rPr>
        <w:t xml:space="preserve">Atributo </w:t>
      </w:r>
      <w:r>
        <w:rPr>
          <w:rFonts w:ascii="Century Gothic" w:cs="Century Gothic" w:eastAsia="Century Gothic" w:hAnsi="Century Gothic"/>
          <w:b/>
          <w:bCs/>
          <w:sz w:val="20"/>
          <w:szCs w:val="20"/>
        </w:rPr>
        <w:t xml:space="preserve">[TrackMasked]</w:t>
      </w:r>
      <w:r>
        <w:rPr>
          <w:rFonts w:ascii="Century Gothic" w:cs="Century Gothic" w:eastAsia="Century Gothic" w:hAnsi="Century Gothic"/>
          <w:sz w:val="20"/>
          <w:szCs w:val="20"/>
        </w:rPr>
        <w:t xml:space="preserve"> y </w:t>
      </w:r>
      <w:r>
        <w:rPr>
          <w:rFonts w:ascii="Century Gothic" w:cs="Century Gothic" w:eastAsia="Century Gothic" w:hAnsi="Century Gothic"/>
          <w:b/>
          <w:bCs/>
          <w:sz w:val="20"/>
          <w:szCs w:val="20"/>
        </w:rPr>
        <w:t xml:space="preserve">TrackValueMasker</w:t>
      </w:r>
      <w:r>
        <w:rPr>
          <w:rFonts w:ascii="Century Gothic" w:cs="Century Gothic" w:eastAsia="Century Gothic" w:hAnsi="Century Gothic"/>
          <w:sz w:val="20"/>
          <w:szCs w:val="20"/>
        </w:rPr>
        <w:t xml:space="preserve">: el Track guarda "******</w:t>
      </w:r>
      <w:r>
        <w:rPr>
          <w:rFonts w:ascii="Century Gothic" w:cs="Century Gothic" w:eastAsia="Century Gothic" w:hAnsi="Century Gothic"/>
          <w:b/>
          <w:bCs/>
          <w:sz w:val="20"/>
          <w:szCs w:val="20"/>
        </w:rPr>
        <w:t xml:space="preserve">" o "</w:t>
      </w:r>
      <w:r>
        <w:rPr>
          <w:rFonts w:ascii="Century Gothic" w:cs="Century Gothic" w:eastAsia="Century Gothic" w:hAnsi="Century Gothic"/>
          <w:b/>
          <w:bCs/>
          <w:sz w:val="20"/>
          <w:szCs w:val="20"/>
        </w:rPr>
        <w:t xml:space="preserve">**** (modificada)"; nunca el valor ni un hash. Campos marcados: FtpWritingConnection.Password, InventoryAutomationConnection.Password y NotificationProviderSetting.Settings (claves password, pwd, secret, token del JSON). 19 entidades adicionales implementan ITrackeable. TrackDataParser muestra los booleanos como Sí/N</w:t>
      </w:r>
    </w:p>
    <w:p>
      <w:pPr>
        <w:pStyle w:val="Heading2"/>
        <w:spacing w:after="100" w:before="240"/>
      </w:pPr>
      <w:r>
        <w:rPr>
          <w:rFonts w:ascii="Century Gothic" w:cs="Century Gothic" w:eastAsia="Century Gothic" w:hAnsi="Century Gothic"/>
          <w:b/>
          <w:bCs/>
          <w:color w:val="0F4761"/>
          <w:sz w:val="24"/>
          <w:szCs w:val="24"/>
        </w:rPr>
        <w:t xml:space="preserve">Requerimiento 2 – Marca $ BOMBA (T8, T9, T20–T22b)</w:t>
      </w:r>
    </w:p>
    <w:p>
      <w:pPr>
        <w:pStyle w:val="ListParagraph"/>
        <w:numPr>
          <w:ilvl w:val="0"/>
          <w:numId w:val="2"/>
        </w:numPr>
        <w:spacing w:after="60"/>
      </w:pPr>
      <w:r>
        <w:rPr>
          <w:rFonts w:ascii="Century Gothic" w:cs="Century Gothic" w:eastAsia="Century Gothic" w:hAnsi="Century Gothic"/>
          <w:sz w:val="20"/>
          <w:szCs w:val="20"/>
        </w:rPr>
        <w:t xml:space="preserve">Item (entidad, modelo, configuración EF, ItemRepository.UpdateAsync) con IsBombPrice; regla de sufijos en Models/ItemNameMarks.</w:t>
      </w:r>
    </w:p>
    <w:p>
      <w:pPr>
        <w:pStyle w:val="ListParagraph"/>
        <w:numPr>
          <w:ilvl w:val="0"/>
          <w:numId w:val="2"/>
        </w:numPr>
        <w:spacing w:after="60"/>
      </w:pPr>
      <w:r>
        <w:rPr>
          <w:rFonts w:ascii="Century Gothic" w:cs="Century Gothic" w:eastAsia="Century Gothic" w:hAnsi="Century Gothic"/>
          <w:sz w:val="20"/>
          <w:szCs w:val="20"/>
        </w:rPr>
        <w:t xml:space="preserve">ArticleInventoryDialog y Shared/ArticleImageLocator: etiqueta $ BOMBA. Excel del correo: ExcelImageAttribute.BadgeProperty, ExcelIgnoreAttribute y FileBytesGeneratorService.Badges.cs.</w:t>
      </w:r>
    </w:p>
    <w:p>
      <w:pPr>
        <w:pStyle w:val="ListParagraph"/>
        <w:numPr>
          <w:ilvl w:val="0"/>
          <w:numId w:val="2"/>
        </w:numPr>
        <w:spacing w:after="60"/>
      </w:pPr>
      <w:r>
        <w:rPr>
          <w:rFonts w:ascii="Century Gothic" w:cs="Century Gothic" w:eastAsia="Century Gothic" w:hAnsi="Century Gothic"/>
          <w:sz w:val="20"/>
          <w:szCs w:val="20"/>
        </w:rPr>
        <w:t xml:space="preserve">Reportes con filtros tipados (ItemReferences, MinimumWarehouseStock, ReferenceMovementReportFilter) y StoredProcedureCommand.</w:t>
      </w:r>
    </w:p>
    <w:p>
      <w:pPr>
        <w:pStyle w:val="Heading2"/>
        <w:spacing w:after="100" w:before="240"/>
      </w:pPr>
      <w:r>
        <w:rPr>
          <w:rFonts w:ascii="Century Gothic" w:cs="Century Gothic" w:eastAsia="Century Gothic" w:hAnsi="Century Gothic"/>
          <w:b/>
          <w:bCs/>
          <w:color w:val="0F4761"/>
          <w:sz w:val="24"/>
          <w:szCs w:val="24"/>
        </w:rPr>
        <w:t xml:space="preserve">Requerimiento 3 – Pedido especial (T23–T28)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Tarea</w:t>
            </w:r>
          </w:p>
        </w:tc>
        <w:tc>
          <w:tcPr>
            <w:tcW w:type="dxa" w:w="81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Componentes</w:t>
            </w:r>
          </w:p>
        </w:tc>
      </w:tr>
      <w:tr>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T23</w:t>
            </w:r>
          </w:p>
        </w:tc>
        <w:tc>
          <w:tcPr>
            <w:tcW w:type="dxa" w:w="8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CustomerOrder (entidad, configuración, modelo) con IsSpecialOrder.</w:t>
            </w:r>
          </w:p>
        </w:tc>
      </w:tr>
      <w:tr>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T24</w:t>
            </w:r>
          </w:p>
        </w:tc>
        <w:tc>
          <w:tcPr>
            <w:tcW w:type="dxa" w:w="81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AddCustomerOrder, AddCustomerOrderFromReservation, EditCustomerOrder; SpecialOrderOptions (opciones Sí/No, mensajes de confirmación); CustomerOrderRepository.AddAsync/UpdateAsync.</w:t>
            </w:r>
          </w:p>
        </w:tc>
      </w:tr>
      <w:tr>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T25</w:t>
            </w:r>
          </w:p>
        </w:tc>
        <w:tc>
          <w:tcPr>
            <w:tcW w:type="dxa" w:w="8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CustomerOrders (columna y filtro; CustomerOrderService/Repository.GetAsync con bool? isSpecialOrder), CustomerOrderDetails, CustomerOrderSummary + InternalOnlyContent (retira filas/celdas class="internal-only" del PDF que se envía por correo).</w:t>
            </w:r>
          </w:p>
        </w:tc>
      </w:tr>
      <w:tr>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T26</w:t>
            </w:r>
          </w:p>
        </w:tc>
        <w:tc>
          <w:tcPr>
            <w:tcW w:type="dxa" w:w="81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CustomerOrderReportFilter + CustomerOrderReportCommand (Pedidos, Back order, Actividades, Ventas y exportaciones); AutomaticAssigmentReportFilter y AutomaticPendingCustomerOrderInProcessReportFilter; CustomerOrderReportFilterExtensions (pantalla → filtro y query string).</w:t>
            </w:r>
          </w:p>
        </w:tc>
      </w:tr>
      <w:tr>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T27</w:t>
            </w:r>
          </w:p>
        </w:tc>
        <w:tc>
          <w:tcPr>
            <w:tcW w:type="dxa" w:w="8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Columnas en logs de pedidos; OrderDocumentLogEntry/Item con IsSpecialOrder.</w:t>
            </w:r>
          </w:p>
        </w:tc>
      </w:tr>
      <w:tr>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T28</w:t>
            </w:r>
          </w:p>
        </w:tc>
        <w:tc>
          <w:tcPr>
            <w:tcW w:type="dxa" w:w="81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Tablero (CustomerOrderExpiration, ConfirmedPurchaseOrder, AutomaticInProcessModification) — DashBoardService completa el dato con GetSpecialCustomerOrderIdsAsync; pantallas de despachos y traslados.</w:t>
            </w:r>
          </w:p>
        </w:tc>
      </w:tr>
    </w:tbl>
    <w:p>
      <w:pPr>
        <w:pStyle w:val="Heading2"/>
        <w:spacing w:after="100" w:before="240"/>
      </w:pPr>
      <w:r>
        <w:rPr>
          <w:rFonts w:ascii="Century Gothic" w:cs="Century Gothic" w:eastAsia="Century Gothic" w:hAnsi="Century Gothic"/>
          <w:b/>
          <w:bCs/>
          <w:color w:val="0F4761"/>
          <w:sz w:val="24"/>
          <w:szCs w:val="24"/>
        </w:rPr>
        <w:t xml:space="preserve">Requerimiento 4 – Generador de consecutivos de referencia interna</w:t>
      </w:r>
    </w:p>
    <w:p>
      <w:pPr>
        <w:spacing w:after="120" w:line="276"/>
      </w:pPr>
      <w:r>
        <w:rPr>
          <w:rFonts w:ascii="Century Gothic" w:cs="Century Gothic" w:eastAsia="Century Gothic" w:hAnsi="Century Gothic"/>
          <w:b/>
          <w:bCs/>
          <w:sz w:val="20"/>
          <w:szCs w:val="20"/>
        </w:rPr>
        <w:t xml:space="preserve">Alcance:</w:t>
      </w:r>
      <w:r>
        <w:rPr>
          <w:rFonts w:ascii="Century Gothic" w:cs="Century Gothic" w:eastAsia="Century Gothic" w:hAnsi="Century Gothic"/>
          <w:sz w:val="20"/>
          <w:szCs w:val="20"/>
        </w:rPr>
        <w:t xml:space="preserve"> la opción </w:t>
      </w:r>
      <w:r>
        <w:rPr>
          <w:rFonts w:ascii="Century Gothic" w:cs="Century Gothic" w:eastAsia="Century Gothic" w:hAnsi="Century Gothic"/>
          <w:b/>
          <w:bCs/>
          <w:sz w:val="20"/>
          <w:szCs w:val="20"/>
        </w:rPr>
        <w:t xml:space="preserve">sugiere</w:t>
      </w:r>
      <w:r>
        <w:rPr>
          <w:rFonts w:ascii="Century Gothic" w:cs="Century Gothic" w:eastAsia="Century Gothic" w:hAnsi="Century Gothic"/>
          <w:sz w:val="20"/>
          <w:szCs w:val="20"/>
        </w:rPr>
        <w:t xml:space="preserve"> referencias internas CÓDIGO-NNN libres. </w:t>
      </w:r>
      <w:r>
        <w:rPr>
          <w:rFonts w:ascii="Century Gothic" w:cs="Century Gothic" w:eastAsia="Century Gothic" w:hAnsi="Century Gothic"/>
          <w:b/>
          <w:bCs/>
          <w:sz w:val="20"/>
          <w:szCs w:val="20"/>
        </w:rPr>
        <w:t xml:space="preserve">No hay integración con la creación de artículos:</w:t>
      </w:r>
      <w:r>
        <w:rPr>
          <w:rFonts w:ascii="Century Gothic" w:cs="Century Gothic" w:eastAsia="Century Gothic" w:hAnsi="Century Gothic"/>
          <w:sz w:val="20"/>
          <w:szCs w:val="20"/>
        </w:rPr>
        <w:t xml:space="preserve"> no se reserva el número, no se valida en AddItem/EditItem que la referencia sea la sugerida ni que cumpla el formato, y no hay llave entre INTERNAL_REFERENCE_CONSECUTIVES e items. La fuente de verdad es </w:t>
      </w:r>
      <w:r>
        <w:rPr>
          <w:rFonts w:ascii="Century Gothic" w:cs="Century Gothic" w:eastAsia="Century Gothic" w:hAnsi="Century Gothic"/>
          <w:b/>
          <w:bCs/>
          <w:sz w:val="20"/>
          <w:szCs w:val="20"/>
        </w:rPr>
        <w:t xml:space="preserve">items.INTERNAL_REFERENCE</w:t>
      </w:r>
      <w:r>
        <w:rPr>
          <w:rFonts w:ascii="Century Gothic" w:cs="Century Gothic" w:eastAsia="Century Gothic" w:hAnsi="Century Gothic"/>
          <w:sz w:val="20"/>
          <w:szCs w:val="20"/>
        </w:rPr>
        <w:t xml:space="preserve">; las tablas del generador solo guardan sugerencias pendientes y se depuran contra items en cada Consultar/Generar. La única protección contra duplicados al crear el artículo es la existente: validación ExistsByIternalReference en AddItem e índice único UQ_INTERNAL_REF.</w:t>
      </w:r>
    </w:p>
    <w:p>
      <w:pPr>
        <w:spacing w:after="120" w:line="276"/>
      </w:pPr>
      <w:r>
        <w:rPr>
          <w:rFonts w:ascii="Century Gothic" w:cs="Century Gothic" w:eastAsia="Century Gothic" w:hAnsi="Century Gothic"/>
          <w:b/>
          <w:bCs/>
          <w:sz w:val="20"/>
          <w:szCs w:val="20"/>
        </w:rPr>
        <w:t xml:space="preserve">Consecuencias de usar referencias fuera de lo sugerido (comportamiento esperado, no defecto):</w:t>
      </w:r>
      <w:r>
        <w:rPr>
          <w:rFonts w:ascii="Century Gothic" w:cs="Century Gothic" w:eastAsia="Century Gothic" w:hAnsi="Century Gothic"/>
          <w:sz w:val="20"/>
          <w:szCs w:val="20"/>
        </w:rPr>
        <w:t xml:space="preserve"> una sugerencia no usada sigue disponible; una referencia sin el patrón CÓDIGO-dígitos no cuenta como usada y se lista como no conforme; un número mayor a los sugeridos hace que la siguiente generación continúe desde él (no se rellenan huecos).</w:t>
      </w:r>
    </w:p>
    <w:p>
      <w:pPr>
        <w:pStyle w:val="Heading3"/>
        <w:spacing w:after="80" w:before="160"/>
      </w:pPr>
      <w:r>
        <w:rPr>
          <w:rFonts w:ascii="Century Gothic" w:cs="Century Gothic" w:eastAsia="Century Gothic" w:hAnsi="Century Gothic"/>
          <w:b/>
          <w:bCs/>
          <w:color w:val="215E99"/>
          <w:sz w:val="21"/>
          <w:szCs w:val="21"/>
        </w:rPr>
        <w:t xml:space="preserve">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60"/>
        <w:gridCol w:w="2600"/>
      </w:tblGrid>
      <w:tr>
        <w:trPr>
          <w:tblHeader/>
        </w:trPr>
        <w:tc>
          <w:tcPr>
            <w:tcW w:type="dxa" w:w="15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Regla</w:t>
            </w:r>
          </w:p>
        </w:tc>
        <w:tc>
          <w:tcPr>
            <w:tcW w:type="dxa" w:w="52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Aplicación</w:t>
            </w:r>
          </w:p>
        </w:tc>
        <w:tc>
          <w:tcPr>
            <w:tcW w:type="dxa" w:w="26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Validación</w:t>
            </w:r>
          </w:p>
        </w:tc>
      </w:tr>
      <w:tr>
        <w:tc>
          <w:tcPr>
            <w:tcW w:type="dxa" w:w="1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Código</w:t>
            </w:r>
          </w:p>
        </w:tc>
        <w:tc>
          <w:tcPr>
            <w:tcW w:type="dxa" w:w="5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 a 5 caracteres; ^[A-Z0-9Ñ]+( [A-Z0-9Ñ]+)*$ tras Trim + ToUpperInvariant (un espacio interno permitido, sin guion ni signos). 5 + '-' + 4 dígitos = 10 = largo de items.INTERNAL_REFERENCE.</w:t>
            </w:r>
          </w:p>
        </w:tc>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InternalReferenceCodeRules.ValidateCode y SP_GENERATE (THROW 50100, 50103, 50104)</w:t>
            </w:r>
          </w:p>
        </w:tc>
      </w:tr>
      <w:tr>
        <w:tc>
          <w:tcPr>
            <w:tcW w:type="dxa" w:w="1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Cantidad</w:t>
            </w:r>
          </w:p>
        </w:tc>
        <w:tc>
          <w:tcPr>
            <w:tcW w:type="dxa" w:w="5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 a 1000 disponibles requeridos por generación.</w:t>
            </w:r>
          </w:p>
        </w:tc>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ValidateQuantity y SP (THROW 50101)</w:t>
            </w:r>
          </w:p>
        </w:tc>
      </w:tr>
      <w:tr>
        <w:tc>
          <w:tcPr>
            <w:tcW w:type="dxa" w:w="1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Tope</w:t>
            </w:r>
          </w:p>
        </w:tc>
        <w:tc>
          <w:tcPr>
            <w:tcW w:type="dxa" w:w="5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Consecutivo máximo 9999. Si @Last + faltantes &gt; 9999 se rechaza indicando cuántos caben, sin generar nada.</w:t>
            </w:r>
          </w:p>
        </w:tc>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 (THROW 50102)</w:t>
            </w:r>
          </w:p>
        </w:tc>
      </w:tr>
      <w:tr>
        <w:tc>
          <w:tcPr>
            <w:tcW w:type="dxa" w:w="1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Formato sugerido</w:t>
            </w:r>
          </w:p>
        </w:tc>
        <w:tc>
          <w:tcPr>
            <w:tcW w:type="dxa" w:w="5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CÓDIGO-NNN: 3 dígitos con ceros a la izquierda; 4 desde 1000 (VA-1227).</w:t>
            </w:r>
          </w:p>
        </w:tc>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 (InternalReference) y InternalReferenceCodeRules.Format</w:t>
            </w:r>
          </w:p>
        </w:tc>
      </w:tr>
      <w:tr>
        <w:tc>
          <w:tcPr>
            <w:tcW w:type="dxa" w:w="1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Uso en artículos</w:t>
            </w:r>
          </w:p>
        </w:tc>
        <w:tc>
          <w:tcPr>
            <w:tcW w:type="dxa" w:w="5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INTERNAL_REFERENCE LIKE 'CÓDIGO-%' con el código escapado ('\', '%', '_' y '[' no son comodines; el guion separa MU de MUX). Después del guion: 1 a 4 dígitos = consecutivo; lo que siga es complemento libre (guion, letras, espacio). Comparación según la intercalación de la BD (sin distinguir mayúsculas).</w:t>
            </w:r>
          </w:p>
        </w:tc>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FN_INTERNAL_REFERENCE_CODE_REFERENCES</w:t>
            </w:r>
          </w:p>
        </w:tc>
      </w:tr>
      <w:tr>
        <w:tc>
          <w:tcPr>
            <w:tcW w:type="dxa" w:w="1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No conformes</w:t>
            </w:r>
          </w:p>
        </w:tc>
        <w:tc>
          <w:tcPr>
            <w:tcW w:type="dxa" w:w="5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Empiezan por 'CÓDIGO-' pero: nada después del guion, no sigue un dígito, o más de 4 dígitos. CONSECUTIVE NULL + REASON.</w:t>
            </w:r>
          </w:p>
        </w:tc>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SP_GET_INTERNAL_REFERENCE_NONCONFORMING</w:t>
            </w:r>
          </w:p>
        </w:tc>
      </w:tr>
    </w:tbl>
    <w:p>
      <w:pPr>
        <w:pStyle w:val="Heading3"/>
        <w:spacing w:after="80" w:before="160"/>
      </w:pPr>
      <w:r>
        <w:rPr>
          <w:rFonts w:ascii="Century Gothic" w:cs="Century Gothic" w:eastAsia="Century Gothic" w:hAnsi="Century Gothic"/>
          <w:b/>
          <w:bCs/>
          <w:color w:val="215E99"/>
          <w:sz w:val="21"/>
          <w:szCs w:val="21"/>
        </w:rPr>
        <w:t xml:space="preserve">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Capa</w:t>
            </w:r>
          </w:p>
        </w:tc>
        <w:tc>
          <w:tcPr>
            <w:tcW w:type="dxa" w:w="77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Componentes</w:t>
            </w:r>
          </w:p>
        </w:tc>
      </w:tr>
      <w:tr>
        <w:tc>
          <w:tcPr>
            <w:tcW w:type="dxa" w:w="1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BD (script 20)</w:t>
            </w:r>
          </w:p>
        </w:tc>
        <w:tc>
          <w:tcPr>
            <w:tcW w:type="dxa" w:w="7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INTERNAL_REFERENCE_CODES (PK CODE varchar(5)). INTERNAL_REFERENCE_CONSECUTIVES (PK CODE + CONSECUTIVE, FK a CODES, CHECK &gt; 0): solo sugerencias no usadas. FN_INTERNAL_REFERENCE_CODE_REFERENCES (inline): referencias del código con CONSECUTIVE y REASON. FN_INTERNAL_REFERENCE_USED_CONSECUTIVES: solo las que cuentan. SP_PURGE_USED_INTERNAL_REFERENCE_CONSECUTIVES: borra sugerencias ya usadas en items. SP_GET_AVAILABLE_…: depura y lista (IsNew = 0). SP_GENERATE_…: valida, bloquea el código (UPDLOCK, HOLDLOCK sobre CODES y CONSECUTIVES), depura, calcula @Last = máx(disponibles ∪ usados), crea @Quantity − disponibles a partir de @Last + 1 y devuelve todas con IsNew. Parámetros @Code varchar(10) para que un código largo llegue completo y se rechace (no se trunque).</w:t>
            </w:r>
          </w:p>
        </w:tc>
      </w:tr>
      <w:tr>
        <w:tc>
          <w:tcPr>
            <w:tcW w:type="dxa" w:w="1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DataAccess</w:t>
            </w:r>
          </w:p>
        </w:tc>
        <w:tc>
          <w:tcPr>
            <w:tcW w:type="dxa" w:w="77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InternalReferenceConsecutiveEntry e InternalReferenceNonconformingEntry (keyless). InternalReferenceConsecutiveRepository con StoredProcedureCommand; traduce SqlException 50100–50199 a InvalidOperationException con el mensaje del SP.</w:t>
            </w:r>
          </w:p>
        </w:tc>
      </w:tr>
      <w:tr>
        <w:tc>
          <w:tcPr>
            <w:tcW w:type="dxa" w:w="1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Application</w:t>
            </w:r>
          </w:p>
        </w:tc>
        <w:tc>
          <w:tcPr>
            <w:tcW w:type="dxa" w:w="7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InternalReferenceConsecutiveService (normaliza y valida antes de llamar al repositorio) e InternalReferenceCodeRules (MaxCodeLength 5, MaxConsecutive 9999, MaxQuantity 1000).</w:t>
            </w:r>
          </w:p>
        </w:tc>
      </w:tr>
      <w:tr>
        <w:tc>
          <w:tcPr>
            <w:tcW w:type="dxa" w:w="1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Web</w:t>
            </w:r>
          </w:p>
        </w:tc>
        <w:tc>
          <w:tcPr>
            <w:tcW w:type="dxa" w:w="77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Pages/ItemPages/InternalReferenceConsecutives (/internal-reference-consecutives; roles Administrador y Modificación de artículos; menú Administración › Consecutivos de referencia). Aviso fijo de que son sugerencias; mensajes de validación debajo de los campos, que se retiran al cambiar código o cantidad; muestra ArgumentException e InvalidOperationException al usuario y registra en el log los demás errores.</w:t>
            </w:r>
          </w:p>
        </w:tc>
      </w:tr>
    </w:tbl>
    <w:p>
      <w:pPr>
        <w:pStyle w:val="Heading3"/>
        <w:spacing w:after="80" w:before="160"/>
      </w:pPr>
      <w:r>
        <w:rPr>
          <w:rFonts w:ascii="Century Gothic" w:cs="Century Gothic" w:eastAsia="Century Gothic" w:hAnsi="Century Gothic"/>
          <w:b/>
          <w:bCs/>
          <w:color w:val="215E99"/>
          <w:sz w:val="21"/>
          <w:szCs w:val="21"/>
        </w:rPr>
        <w:t xml:space="preserve">Despliegue</w:t>
      </w:r>
    </w:p>
    <w:p>
      <w:pPr>
        <w:pStyle w:val="ListParagraph"/>
        <w:numPr>
          <w:ilvl w:val="0"/>
          <w:numId w:val="2"/>
        </w:numPr>
        <w:spacing w:after="60"/>
      </w:pPr>
      <w:r>
        <w:rPr>
          <w:rFonts w:ascii="Century Gothic" w:cs="Century Gothic" w:eastAsia="Century Gothic" w:hAnsi="Century Gothic"/>
          <w:sz w:val="20"/>
          <w:szCs w:val="20"/>
        </w:rPr>
        <w:t xml:space="preserve">Producción: scripts 01 a 20 en orden. El 20 crea las tablas con CODE varchar(5).</w:t>
      </w:r>
    </w:p>
    <w:p>
      <w:pPr>
        <w:pStyle w:val="ListParagraph"/>
        <w:numPr>
          <w:ilvl w:val="0"/>
          <w:numId w:val="2"/>
        </w:numPr>
        <w:spacing w:after="60"/>
      </w:pPr>
      <w:r>
        <w:rPr>
          <w:rFonts w:ascii="Century Gothic" w:cs="Century Gothic" w:eastAsia="Century Gothic" w:hAnsi="Century Gothic"/>
          <w:sz w:val="20"/>
          <w:szCs w:val="20"/>
        </w:rPr>
        <w:t xml:space="preserve">Ambientes donde ya corrió la versión anterior del 20 (CODE varchar(6)): el 20 actual ajusta las columnas a varchar(5) dentro de una transacción (borra solo códigos de más de 5 caracteres, que no existen en datos reales) y recrea funciones y SP.</w:t>
      </w:r>
    </w:p>
    <w:p>
      <w:pPr>
        <w:pStyle w:val="ListParagraph"/>
        <w:numPr>
          <w:ilvl w:val="0"/>
          <w:numId w:val="2"/>
        </w:numPr>
        <w:spacing w:after="60"/>
      </w:pPr>
      <w:r>
        <w:rPr>
          <w:rFonts w:ascii="Century Gothic" w:cs="Century Gothic" w:eastAsia="Century Gothic" w:hAnsi="Century Gothic"/>
          <w:sz w:val="20"/>
          <w:szCs w:val="20"/>
        </w:rPr>
        <w:t xml:space="preserve">Reversa: Reversa\20 elimina funciones, SP y tablas (las sugerencias pendientes se pierden; items no se toca).</w:t>
      </w:r>
    </w:p>
    <w:p>
      <w:pPr>
        <w:pStyle w:val="Heading3"/>
        <w:spacing w:after="80" w:before="160"/>
      </w:pPr>
      <w:r>
        <w:rPr>
          <w:rFonts w:ascii="Century Gothic" w:cs="Century Gothic" w:eastAsia="Century Gothic" w:hAnsi="Century Gothic"/>
          <w:b/>
          <w:bCs/>
          <w:color w:val="215E99"/>
          <w:sz w:val="21"/>
          <w:szCs w:val="21"/>
        </w:rPr>
        <w:t xml:space="preserve">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660"/>
        <w:gridCol w:w="1800"/>
      </w:tblGrid>
      <w:tr>
        <w:trPr>
          <w:tblHeader/>
        </w:trPr>
        <w:tc>
          <w:tcPr>
            <w:tcW w:type="dxa" w:w="19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Tipo</w:t>
            </w:r>
          </w:p>
        </w:tc>
        <w:tc>
          <w:tcPr>
            <w:tcW w:type="dxa" w:w="56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Detalle</w:t>
            </w:r>
          </w:p>
        </w:tc>
        <w:tc>
          <w:tcPr>
            <w:tcW w:type="dxa" w:w="18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Resultado</w:t>
            </w:r>
          </w:p>
        </w:tc>
      </w:tr>
      <w:tr>
        <w:tc>
          <w:tcPr>
            <w:tcW w:type="dxa" w:w="1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Unitarias (xUnit)</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Aldebaran.Application.Services.Tests: reglas de código (válidos/ inválidos, Ñ, espacios, signos), formato 3/4 dígitos, largo máximo ≤ 10, cantidad 1–1000, y servicio (normaliza, no llama al repositorio con datos inválidos). dotnet test.</w:t>
            </w:r>
          </w:p>
        </w:tc>
        <w:tc>
          <w:tcPr>
            <w:tcW w:type="dxa" w:w="18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44/44 OK</w:t>
            </w:r>
          </w:p>
        </w:tc>
      </w:tr>
      <w:tr>
        <w:tc>
          <w:tcPr>
            <w:tcW w:type="dxa" w:w="19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BD: reconocimiento</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scripts\…\Pruebas\P07 - Pruebas E4 consecutivos.sql (transacción revertida): 1, 2, 3 y 4 dígitos; ceros a la izquierda; complementos con guion, pegados y con espacio; minúsculas; doble guion; sin guion; otro código (QZX); más de 4 dígitos; nada después del guion.</w:t>
            </w:r>
          </w:p>
        </w:tc>
        <w:tc>
          <w:tcPr>
            <w:tcW w:type="dxa" w:w="18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18/18 OK</w:t>
            </w:r>
          </w:p>
        </w:tc>
      </w:tr>
      <w:tr>
        <w:tc>
          <w:tcPr>
            <w:tcW w:type="dxa" w:w="1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BD: generación</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Código nuevo; completar hasta N; no borrar si ya hay más; artículo creado con la sugerencia, con complemento, sin guion, sin ceros, con número mayor (salto), no conformes que no afectan; paso de 999 a 1000; tope exacto 9999; código de 5; código con espacio; recorte de espacios.</w:t>
            </w:r>
          </w:p>
        </w:tc>
        <w:tc>
          <w:tcPr>
            <w:tcW w:type="dxa" w:w="18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19/19 OK</w:t>
            </w:r>
          </w:p>
        </w:tc>
      </w:tr>
      <w:tr>
        <w:tc>
          <w:tcPr>
            <w:tcW w:type="dxa" w:w="19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BD: validaciones</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P08 - Pruebas E4 validaciones.sql: vacío, NULL, espacios, 6 caracteres, guion, '_', '%', dos espacios, punto; cantidad 0, −1, 1001, NULL; tope 9999 (rechaza sin generar).</w:t>
            </w:r>
          </w:p>
        </w:tc>
        <w:tc>
          <w:tcPr>
            <w:tcW w:type="dxa" w:w="18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14/14 OK</w:t>
            </w:r>
          </w:p>
        </w:tc>
      </w:tr>
      <w:tr>
        <w:tc>
          <w:tcPr>
            <w:tcW w:type="dxa" w:w="1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BD: concurrencia</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3 sesiones simultáneas × 150 generaciones + consultas sobre el mismo código.</w:t>
            </w:r>
          </w:p>
        </w:tc>
        <w:tc>
          <w:tcPr>
            <w:tcW w:type="dxa" w:w="18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0 errores, 0 duplicados, sin bloqueos mutuos</w:t>
            </w:r>
          </w:p>
        </w:tc>
      </w:tr>
      <w:tr>
        <w:tc>
          <w:tcPr>
            <w:tcW w:type="dxa" w:w="19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Datos reales (BD de pruebas)</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VA: mayor 1226 (cuenta VA-1015-1 y VA-984SURA); CP-59T = 59; PM VA: 825; TH: 26 no conformes.</w:t>
            </w:r>
          </w:p>
        </w:tc>
        <w:tc>
          <w:tcPr>
            <w:tcW w:type="dxa" w:w="18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OK</w:t>
            </w:r>
          </w:p>
        </w:tc>
      </w:tr>
      <w:tr>
        <w:tc>
          <w:tcPr>
            <w:tcW w:type="dxa" w:w="1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Pantalla (navegador)</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Aviso, validaciones con mensaje (incluye 7 caracteres y cantidad 0), primer clic tras un error, cancelar confirmación, código nuevo, VA en 4 dígitos, PM VA, no conformes, sin sugerencias, no recrear, tope 9999 desde la BD.</w:t>
            </w:r>
          </w:p>
        </w:tc>
        <w:tc>
          <w:tcPr>
            <w:tcW w:type="dxa" w:w="18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20/20 OK</w:t>
            </w:r>
          </w:p>
        </w:tc>
      </w:tr>
    </w:tbl>
    <w:p>
      <w:pPr>
        <w:pStyle w:val="Heading1"/>
        <w:spacing w:after="120" w:before="360"/>
      </w:pPr>
      <w:r>
        <w:rPr>
          <w:rFonts w:ascii="Century Gothic" w:cs="Century Gothic" w:eastAsia="Century Gothic" w:hAnsi="Century Gothic"/>
          <w:color w:val="215E99"/>
          <w:sz w:val="28"/>
          <w:szCs w:val="28"/>
        </w:rPr>
        <w:t xml:space="preserve">SEGURIDAD</w:t>
      </w:r>
    </w:p>
    <w:p>
      <w:pPr>
        <w:pStyle w:val="ListParagraph"/>
        <w:numPr>
          <w:ilvl w:val="0"/>
          <w:numId w:val="2"/>
        </w:numPr>
        <w:spacing w:after="60"/>
      </w:pPr>
      <w:r>
        <w:rPr>
          <w:rFonts w:ascii="Century Gothic" w:cs="Century Gothic" w:eastAsia="Century Gothic" w:hAnsi="Century Gothic"/>
          <w:b/>
          <w:bCs/>
          <w:sz w:val="20"/>
          <w:szCs w:val="20"/>
        </w:rPr>
        <w:t xml:space="preserve">Exportaciones</w:t>
      </w:r>
      <w:r>
        <w:rPr>
          <w:rFonts w:ascii="Century Gothic" w:cs="Century Gothic" w:eastAsia="Century Gothic" w:hAnsi="Century Gothic"/>
          <w:sz w:val="20"/>
          <w:szCs w:val="20"/>
        </w:rPr>
        <w:t xml:space="preserve"> (ExportAldebaranDbController): requieren usuario autenticado ([Authorize]) y reciben los filtros tipados por la cadena de consulta. Antes ejecutaban el SQL recibido en la URL sin autenticación.</w:t>
      </w:r>
    </w:p>
    <w:p>
      <w:pPr>
        <w:pStyle w:val="ListParagraph"/>
        <w:numPr>
          <w:ilvl w:val="0"/>
          <w:numId w:val="2"/>
        </w:numPr>
        <w:spacing w:after="60"/>
      </w:pPr>
      <w:r>
        <w:rPr>
          <w:rFonts w:ascii="Century Gothic" w:cs="Century Gothic" w:eastAsia="Century Gothic" w:hAnsi="Century Gothic"/>
          <w:sz w:val="20"/>
          <w:szCs w:val="20"/>
        </w:rPr>
        <w:t xml:space="preserve">Los reportes de pedidos (8 SP) dejaron de concatenar SQL.</w:t>
      </w:r>
    </w:p>
    <w:p>
      <w:pPr>
        <w:pStyle w:val="ListParagraph"/>
        <w:numPr>
          <w:ilvl w:val="0"/>
          <w:numId w:val="2"/>
        </w:numPr>
        <w:spacing w:after="60"/>
      </w:pPr>
      <w:r>
        <w:rPr>
          <w:rFonts w:ascii="Century Gothic" w:cs="Century Gothic" w:eastAsia="Century Gothic" w:hAnsi="Century Gothic"/>
          <w:sz w:val="20"/>
          <w:szCs w:val="20"/>
        </w:rPr>
        <w:t xml:space="preserve">Credenciales ofuscadas en el Track (actual e histórico).</w:t>
      </w:r>
    </w:p>
    <w:p>
      <w:pPr>
        <w:pStyle w:val="ListParagraph"/>
        <w:numPr>
          <w:ilvl w:val="0"/>
          <w:numId w:val="2"/>
        </w:numPr>
        <w:spacing w:after="60"/>
      </w:pPr>
      <w:r>
        <w:rPr>
          <w:rFonts w:ascii="Century Gothic" w:cs="Century Gothic" w:eastAsia="Century Gothic" w:hAnsi="Century Gothic"/>
          <w:sz w:val="20"/>
          <w:szCs w:val="20"/>
        </w:rPr>
        <w:t xml:space="preserve">Consultas de log con lectura sin bloqueos (READ UNCOMMITTED) e índices dedicados: no afectan la operación.</w:t>
      </w:r>
    </w:p>
    <w:p>
      <w:pPr>
        <w:spacing w:after="120"/>
      </w:pPr>
      <w:r>
        <w:rPr>
          <w:rFonts w:ascii="Century Gothic" w:cs="Century Gothic" w:eastAsia="Century Gothic" w:hAnsi="Century Gothic"/>
          <w:i/>
          <w:iCs/>
          <w:color w:val="7F7F7F"/>
          <w:sz w:val="18"/>
          <w:szCs w:val="18"/>
        </w:rPr>
        <w:t xml:space="preserve">Deuda técnica registrada para análisis posterior: 9 reportes fuera del alcance todavía arman SQL concatenado (OC, Reservas, Inventario, Traslados, Ajustes, Stock de bodega, Proveedor-referencias, Zona franca, Inventario en proceso).</w:t>
      </w:r>
    </w:p>
    <w:p>
      <w:pPr>
        <w:pStyle w:val="Heading1"/>
        <w:spacing w:after="120" w:before="360"/>
      </w:pPr>
      <w:r>
        <w:rPr>
          <w:rFonts w:ascii="Century Gothic" w:cs="Century Gothic" w:eastAsia="Century Gothic" w:hAnsi="Century Gothic"/>
          <w:color w:val="215E99"/>
          <w:sz w:val="28"/>
          <w:szCs w:val="28"/>
        </w:rPr>
        <w:t xml:space="preserve">DESPLIEGUE</w:t>
      </w:r>
    </w:p>
    <w:p>
      <w:pPr>
        <w:pStyle w:val="ListParagraph"/>
        <w:numPr>
          <w:ilvl w:val="0"/>
          <w:numId w:val="3"/>
        </w:numPr>
        <w:spacing w:after="60"/>
      </w:pPr>
      <w:r>
        <w:rPr>
          <w:rFonts w:ascii="Century Gothic" w:cs="Century Gothic" w:eastAsia="Century Gothic" w:hAnsi="Century Gothic"/>
          <w:sz w:val="20"/>
          <w:szCs w:val="20"/>
        </w:rPr>
        <w:t xml:space="preserve">Respaldar la base de datos de producción.</w:t>
      </w:r>
    </w:p>
    <w:p>
      <w:pPr>
        <w:pStyle w:val="ListParagraph"/>
        <w:numPr>
          <w:ilvl w:val="0"/>
          <w:numId w:val="3"/>
        </w:numPr>
        <w:spacing w:after="60"/>
      </w:pPr>
      <w:r>
        <w:rPr>
          <w:rFonts w:ascii="Century Gothic" w:cs="Century Gothic" w:eastAsia="Century Gothic" w:hAnsi="Century Gothic"/>
          <w:sz w:val="20"/>
          <w:szCs w:val="20"/>
        </w:rPr>
        <w:t xml:space="preserve">Ejecutar los scripts de </w:t>
      </w:r>
      <w:r>
        <w:rPr>
          <w:rFonts w:ascii="Century Gothic" w:cs="Century Gothic" w:eastAsia="Century Gothic" w:hAnsi="Century Gothic"/>
          <w:b/>
          <w:bCs/>
          <w:sz w:val="20"/>
          <w:szCs w:val="20"/>
        </w:rPr>
        <w:t xml:space="preserve">Despliegue\</w:t>
      </w:r>
      <w:r>
        <w:rPr>
          <w:rFonts w:ascii="Century Gothic" w:cs="Century Gothic" w:eastAsia="Century Gothic" w:hAnsi="Century Gothic"/>
          <w:sz w:val="20"/>
          <w:szCs w:val="20"/>
        </w:rPr>
        <w:t xml:space="preserve"> en orden (01–20) sobre la BD Aldebaran. Los scripts 16, 18 y 19 se ejecutan en la misma ventana en que se publica la aplicación.</w:t>
      </w:r>
    </w:p>
    <w:p>
      <w:pPr>
        <w:pStyle w:val="ListParagraph"/>
        <w:numPr>
          <w:ilvl w:val="0"/>
          <w:numId w:val="3"/>
        </w:numPr>
        <w:spacing w:after="60"/>
      </w:pPr>
      <w:r>
        <w:rPr>
          <w:rFonts w:ascii="Century Gothic" w:cs="Century Gothic" w:eastAsia="Century Gothic" w:hAnsi="Century Gothic"/>
          <w:sz w:val="20"/>
          <w:szCs w:val="20"/>
        </w:rPr>
        <w:t xml:space="preserve">Publicar la versión de la aplicación. </w:t>
      </w:r>
      <w:r>
        <w:rPr>
          <w:rFonts w:ascii="Century Gothic" w:cs="Century Gothic" w:eastAsia="Century Gothic" w:hAnsi="Century Gothic"/>
          <w:b/>
          <w:bCs/>
          <w:sz w:val="20"/>
          <w:szCs w:val="20"/>
        </w:rPr>
        <w:t xml:space="preserve">No reemplazar appsettings de producción.</w:t>
      </w:r>
    </w:p>
    <w:p>
      <w:pPr>
        <w:pStyle w:val="ListParagraph"/>
        <w:numPr>
          <w:ilvl w:val="0"/>
          <w:numId w:val="3"/>
        </w:numPr>
        <w:spacing w:after="60"/>
      </w:pPr>
      <w:r>
        <w:rPr>
          <w:rFonts w:ascii="Century Gothic" w:cs="Century Gothic" w:eastAsia="Century Gothic" w:hAnsi="Century Gothic"/>
          <w:sz w:val="20"/>
          <w:szCs w:val="20"/>
        </w:rPr>
        <w:t xml:space="preserve">Autómata de Existencias: desplegar el NLog.config actualizado (target asyncDatabase → log.SP_INSERT_AUTOMATA_EXISTENCIAS_LOG), dar EXECUTE a su usuario de BD y reiniciar el servicio.</w:t>
      </w:r>
    </w:p>
    <w:p>
      <w:pPr>
        <w:pStyle w:val="ListParagraph"/>
        <w:numPr>
          <w:ilvl w:val="0"/>
          <w:numId w:val="3"/>
        </w:numPr>
        <w:spacing w:after="60"/>
      </w:pPr>
      <w:r>
        <w:rPr>
          <w:rFonts w:ascii="Century Gothic" w:cs="Century Gothic" w:eastAsia="Century Gothic" w:hAnsi="Century Gothic"/>
          <w:sz w:val="20"/>
          <w:szCs w:val="20"/>
        </w:rPr>
        <w:t xml:space="preserve">Validar el script 05 con permisos sobre msdb.</w:t>
      </w:r>
    </w:p>
    <w:p>
      <w:pPr>
        <w:pStyle w:val="ListParagraph"/>
        <w:numPr>
          <w:ilvl w:val="0"/>
          <w:numId w:val="3"/>
        </w:numPr>
        <w:spacing w:after="60"/>
      </w:pPr>
      <w:r>
        <w:rPr>
          <w:rFonts w:ascii="Century Gothic" w:cs="Century Gothic" w:eastAsia="Century Gothic" w:hAnsi="Century Gothic"/>
          <w:sz w:val="20"/>
          <w:szCs w:val="20"/>
        </w:rPr>
        <w:t xml:space="preserve">Asignar los roles nuevos (Log del sistema, Log de inventarios) a los usuarios que correspondan.</w:t>
      </w:r>
    </w:p>
    <w:p>
      <w:pPr>
        <w:pStyle w:val="ListParagraph"/>
        <w:numPr>
          <w:ilvl w:val="0"/>
          <w:numId w:val="3"/>
        </w:numPr>
        <w:spacing w:after="60"/>
      </w:pPr>
      <w:r>
        <w:rPr>
          <w:rFonts w:ascii="Century Gothic" w:cs="Century Gothic" w:eastAsia="Century Gothic" w:hAnsi="Century Gothic"/>
          <w:sz w:val="20"/>
          <w:szCs w:val="20"/>
        </w:rPr>
        <w:t xml:space="preserve">Verificación: abrir Log general y confirmar el origen AutomataExistencias; crear un pedido de prueba con Pedido especial; ejecutar un reporte de pedidos.</w:t>
      </w:r>
    </w:p>
    <w:p>
      <w:pPr>
        <w:pStyle w:val="Heading2"/>
        <w:spacing w:after="100" w:before="240"/>
      </w:pPr>
      <w:r>
        <w:rPr>
          <w:rFonts w:ascii="Century Gothic" w:cs="Century Gothic" w:eastAsia="Century Gothic" w:hAnsi="Century Gothic"/>
          <w:b/>
          <w:bCs/>
          <w:color w:val="0F4761"/>
          <w:sz w:val="24"/>
          <w:szCs w:val="24"/>
        </w:rPr>
        <w:t xml:space="preserve">Reversa</w:t>
      </w:r>
    </w:p>
    <w:p>
      <w:pPr>
        <w:spacing w:after="120" w:line="276"/>
      </w:pPr>
      <w:r>
        <w:rPr>
          <w:rFonts w:ascii="Century Gothic" w:cs="Century Gothic" w:eastAsia="Century Gothic" w:hAnsi="Century Gothic"/>
          <w:sz w:val="20"/>
          <w:szCs w:val="20"/>
        </w:rPr>
        <w:t xml:space="preserve">Publicar la versión anterior de la aplicación, restaurar el NLog.config anterior del autómata y ejecutar todas las reversas en orden inverso: 20, 19, 18, 17, 16, 15, 14, 13, 12, 11, 10, 09, 08, 07, 06, 05, 04, 03, 01. La 01 va de última porque borra la tabla de respaldo RQM_LOGS_OBJECT_BACKUP, que usan las reversas 04, 05, 14, 16 y 18. Ciclo completo reversa → despliegue probado sin errores.</w:t>
      </w:r>
    </w:p>
    <w:p>
      <w:pPr>
        <w:pStyle w:val="Heading1"/>
        <w:spacing w:after="120" w:before="360"/>
      </w:pPr>
      <w:r>
        <w:rPr>
          <w:rFonts w:ascii="Century Gothic" w:cs="Century Gothic" w:eastAsia="Century Gothic" w:hAnsi="Century Gothic"/>
          <w:color w:val="215E99"/>
          <w:sz w:val="28"/>
          <w:szCs w:val="28"/>
        </w:rPr>
        <w:t xml:space="preserve">SOPORTE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60"/>
      </w:tblGrid>
      <w:tr>
        <w:trPr>
          <w:tblHeader/>
        </w:trPr>
        <w:tc>
          <w:tcPr>
            <w:tcW w:type="dxa" w:w="30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Síntoma</w:t>
            </w:r>
          </w:p>
        </w:tc>
        <w:tc>
          <w:tcPr>
            <w:tcW w:type="dxa" w:w="29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Causa probable</w:t>
            </w:r>
          </w:p>
        </w:tc>
        <w:tc>
          <w:tcPr>
            <w:tcW w:type="dxa" w:w="34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Acción</w:t>
            </w:r>
          </w:p>
        </w:tc>
      </w:tr>
      <w:tr>
        <w:tc>
          <w:tcPr>
            <w:tcW w:type="dxa" w:w="30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Script 16/18 termina con "no tiene la estructura esperada".</w:t>
            </w:r>
          </w:p>
        </w:tc>
        <w:tc>
          <w:tcPr>
            <w:tcW w:type="dxa" w:w="2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El SP en esa BD difiere de la versión validada.</w:t>
            </w:r>
          </w:p>
        </w:tc>
        <w:tc>
          <w:tcPr>
            <w:tcW w:type="dxa" w:w="34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No forzar. Comparar la definición con RQM_LOGS_OBJECT_BACKUP y ajustar el script.</w:t>
            </w:r>
          </w:p>
        </w:tc>
      </w:tr>
      <w:tr>
        <w:tc>
          <w:tcPr>
            <w:tcW w:type="dxa" w:w="30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Reporte de pedidos falla con columna IsSpecialOrder.</w:t>
            </w:r>
          </w:p>
        </w:tc>
        <w:tc>
          <w:tcPr>
            <w:tcW w:type="dxa" w:w="29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Se publicó la app sin ejecutar el script 18 (o al revés).</w:t>
            </w:r>
          </w:p>
        </w:tc>
        <w:tc>
          <w:tcPr>
            <w:tcW w:type="dxa" w:w="34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Desplegar script y app juntos.</w:t>
            </w:r>
          </w:p>
        </w:tc>
      </w:tr>
      <w:tr>
        <w:tc>
          <w:tcPr>
            <w:tcW w:type="dxa" w:w="30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Exportación pide inicio de sesión.</w:t>
            </w:r>
          </w:p>
        </w:tc>
        <w:tc>
          <w:tcPr>
            <w:tcW w:type="dxa" w:w="2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Comportamiento esperado.</w:t>
            </w:r>
          </w:p>
        </w:tc>
        <w:tc>
          <w:tcPr>
            <w:tcW w:type="dxa" w:w="34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Exportar desde la aplicación con sesión iniciada.</w:t>
            </w:r>
          </w:p>
        </w:tc>
      </w:tr>
      <w:tr>
        <w:tc>
          <w:tcPr>
            <w:tcW w:type="dxa" w:w="30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No aparece el origen AutomataExistencias.</w:t>
            </w:r>
          </w:p>
        </w:tc>
        <w:tc>
          <w:tcPr>
            <w:tcW w:type="dxa" w:w="29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NLog.config no desplegado o sin permiso EXECUTE.</w:t>
            </w:r>
          </w:p>
        </w:tc>
        <w:tc>
          <w:tcPr>
            <w:tcW w:type="dxa" w:w="34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Revisar el despliegue del autómata.</w:t>
            </w:r>
          </w:p>
        </w:tc>
      </w:tr>
      <w:tr>
        <w:tc>
          <w:tcPr>
            <w:tcW w:type="dxa" w:w="30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Track muestra nombres técnicos.</w:t>
            </w:r>
          </w:p>
        </w:tc>
        <w:tc>
          <w:tcPr>
            <w:tcW w:type="dxa" w:w="2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Campo nuevo sin nombre en LOG_TRACK_FIELD_NAMES.</w:t>
            </w:r>
          </w:p>
        </w:tc>
        <w:tc>
          <w:tcPr>
            <w:tcW w:type="dxa" w:w="34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Agregar la fila (ENTITY_NAME vacío o específico).</w:t>
            </w:r>
          </w:p>
        </w:tc>
      </w:tr>
    </w:tbl>
    <w:sectPr>
      <w:footerReference w:type="default" r:id="rId7"/>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entury Gothic" w:cs="Century Gothic" w:eastAsia="Century Gothic" w:hAnsi="Century Gothic"/>
        <w:color w:val="7F7F7F"/>
        <w:sz w:val="16"/>
        <w:szCs w:val="16"/>
      </w:rPr>
      <w:t xml:space="preserve">Manual Técnico – Complemento Consulta de Logs  ·  Página </w:t>
    </w:r>
    <w:r>
      <w:rPr>
        <w:rFonts w:ascii="Century Gothic" w:cs="Century Gothic" w:eastAsia="Century Gothic" w:hAnsi="Century Gothic"/>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abstractNum w:abstractNumId="21" w15:restartNumberingAfterBreak="0">
    <w:multiLevelType w:val="hybridMultilevel"/>
    <w:lvl w:ilvl="0" w15:tentative="1">
      <w:start w:val="1"/>
      <w:numFmt w:val="decimal"/>
      <w:lvlText w:val="%1."/>
      <w:lvlJc w:val="left"/>
      <w:pPr>
        <w:ind w:left="540" w:hanging="270"/>
      </w:pPr>
    </w:lvl>
  </w:abstractNum>
  <w:abstractNum w:abstractNumId="22" w15:restartNumberingAfterBreak="0">
    <w:multiLevelType w:val="hybridMultilevel"/>
    <w:lvl w:ilvl="0" w15:tentative="1">
      <w:start w:val="1"/>
      <w:numFmt w:val="decimal"/>
      <w:lvlText w:val="%1."/>
      <w:lvlJc w:val="left"/>
      <w:pPr>
        <w:ind w:left="540" w:hanging="270"/>
      </w:pPr>
    </w:lvl>
  </w:abstractNum>
  <w:abstractNum w:abstractNumId="23" w15:restartNumberingAfterBreak="0">
    <w:multiLevelType w:val="hybridMultilevel"/>
    <w:lvl w:ilvl="0" w15:tentative="1">
      <w:start w:val="1"/>
      <w:numFmt w:val="decimal"/>
      <w:lvlText w:val="%1."/>
      <w:lvlJc w:val="left"/>
      <w:pPr>
        <w:ind w:left="540" w:hanging="270"/>
      </w:pPr>
    </w:lvl>
  </w:abstractNum>
  <w:abstractNum w:abstractNumId="24" w15:restartNumberingAfterBreak="0">
    <w:multiLevelType w:val="hybridMultilevel"/>
    <w:lvl w:ilvl="0" w15:tentative="1">
      <w:start w:val="1"/>
      <w:numFmt w:val="decimal"/>
      <w:lvlText w:val="%1."/>
      <w:lvlJc w:val="left"/>
      <w:pPr>
        <w:ind w:left="540" w:hanging="270"/>
      </w:pPr>
    </w:lvl>
  </w:abstractNum>
  <w:abstractNum w:abstractNumId="25" w15:restartNumberingAfterBreak="0">
    <w:multiLevelType w:val="hybridMultilevel"/>
    <w:lvl w:ilvl="0" w15:tentative="1">
      <w:start w:val="1"/>
      <w:numFmt w:val="decimal"/>
      <w:lvlText w:val="%1."/>
      <w:lvlJc w:val="left"/>
      <w:pPr>
        <w:ind w:left="540" w:hanging="270"/>
      </w:pPr>
    </w:lvl>
  </w:abstractNum>
  <w:abstractNum w:abstractNumId="26" w15:restartNumberingAfterBreak="0">
    <w:multiLevelType w:val="hybridMultilevel"/>
    <w:lvl w:ilvl="0" w15:tentative="1">
      <w:start w:val="1"/>
      <w:numFmt w:val="decimal"/>
      <w:lvlText w:val="%1."/>
      <w:lvlJc w:val="left"/>
      <w:pPr>
        <w:ind w:left="540" w:hanging="270"/>
      </w:pPr>
    </w:lvl>
  </w:abstractNum>
  <w:abstractNum w:abstractNumId="27" w15:restartNumberingAfterBreak="0">
    <w:multiLevelType w:val="hybridMultilevel"/>
    <w:lvl w:ilvl="0" w15:tentative="1">
      <w:start w:val="1"/>
      <w:numFmt w:val="decimal"/>
      <w:lvlText w:val="%1."/>
      <w:lvlJc w:val="left"/>
      <w:pPr>
        <w:ind w:left="540" w:hanging="270"/>
      </w:pPr>
    </w:lvl>
  </w:abstractNum>
  <w:abstractNum w:abstractNumId="28" w15:restartNumberingAfterBreak="0">
    <w:multiLevelType w:val="hybridMultilevel"/>
    <w:lvl w:ilvl="0" w15:tentative="1">
      <w:start w:val="1"/>
      <w:numFmt w:val="decimal"/>
      <w:lvlText w:val="%1."/>
      <w:lvlJc w:val="left"/>
      <w:pPr>
        <w:ind w:left="540" w:hanging="270"/>
      </w:pPr>
    </w:lvl>
  </w:abstractNum>
  <w:abstractNum w:abstractNumId="29" w15:restartNumberingAfterBreak="0">
    <w:multiLevelType w:val="hybridMultilevel"/>
    <w:lvl w:ilvl="0" w15:tentative="1">
      <w:start w:val="1"/>
      <w:numFmt w:val="decimal"/>
      <w:lvlText w:val="%1."/>
      <w:lvlJc w:val="left"/>
      <w:pPr>
        <w:ind w:left="540" w:hanging="270"/>
      </w:pPr>
    </w:lvl>
  </w:abstractNum>
  <w:abstractNum w:abstractNumId="30" w15:restartNumberingAfterBreak="0">
    <w:multiLevelType w:val="hybridMultilevel"/>
    <w:lvl w:ilvl="0" w15:tentative="1">
      <w:start w:val="1"/>
      <w:numFmt w:val="decimal"/>
      <w:lvlText w:val="%1."/>
      <w:lvlJc w:val="left"/>
      <w:pPr>
        <w:ind w:left="540" w:hanging="270"/>
      </w:pPr>
    </w:lvl>
  </w:abstractNum>
  <w:abstractNum w:abstractNumId="31" w15:restartNumberingAfterBreak="0">
    <w:multiLevelType w:val="hybridMultilevel"/>
    <w:lvl w:ilvl="0" w15:tentative="1">
      <w:start w:val="1"/>
      <w:numFmt w:val="decimal"/>
      <w:lvlText w:val="%1."/>
      <w:lvlJc w:val="left"/>
      <w:pPr>
        <w:ind w:left="540" w:hanging="270"/>
      </w:pPr>
    </w:lvl>
  </w:abstractNum>
  <w:abstractNum w:abstractNumId="32"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entury Gothic" w:cs="Century Gothic" w:eastAsia="Century Gothic" w:hAnsi="Century Gothic"/>
      <w:color w:val="215E99"/>
      <w:sz w:val="28"/>
      <w:szCs w:val="28"/>
    </w:rPr>
  </w:style>
  <w:style w:type="paragraph" w:styleId="Heading2">
    <w:name w:val="Heading 2"/>
    <w:basedOn w:val="Normal"/>
    <w:next w:val="Normal"/>
    <w:qFormat/>
    <w:pPr>
      <w:spacing w:after="100" w:before="240"/>
      <w:outlineLvl w:val="1"/>
    </w:pPr>
    <w:rPr>
      <w:rFonts w:ascii="Century Gothic" w:cs="Century Gothic" w:eastAsia="Century Gothic" w:hAnsi="Century Gothic"/>
      <w:b/>
      <w:bCs/>
      <w:color w:val="0F4761"/>
      <w:sz w:val="24"/>
      <w:szCs w:val="24"/>
    </w:rPr>
  </w:style>
  <w:style w:type="paragraph" w:styleId="Heading3">
    <w:name w:val="Heading 3"/>
    <w:basedOn w:val="Normal"/>
    <w:next w:val="Normal"/>
    <w:qFormat/>
    <w:pPr>
      <w:spacing w:after="80" w:before="160"/>
      <w:outlineLvl w:val="2"/>
    </w:pPr>
    <w:rPr>
      <w:rFonts w:ascii="Century Gothic" w:cs="Century Gothic" w:eastAsia="Century Gothic" w:hAnsi="Century Gothic"/>
      <w:b/>
      <w:bCs/>
      <w:color w:val="215E99"/>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 Complemento Consulta de Logs</dc:title>
  <dc:creator>Aldebaran Web</dc:creator>
  <cp:lastModifiedBy>Un-named</cp:lastModifiedBy>
  <cp:revision>1</cp:revision>
  <dcterms:created xsi:type="dcterms:W3CDTF">2026-10-25T16:41:16.716Z</dcterms:created>
  <dcterms:modified xsi:type="dcterms:W3CDTF">2026-10-25T16:41:16.722Z</dcterms:modified>
</cp:coreProperties>
</file>

<file path=docProps/custom.xml><?xml version="1.0" encoding="utf-8"?>
<Properties xmlns="http://schemas.openxmlformats.org/officeDocument/2006/custom-properties" xmlns:vt="http://schemas.openxmlformats.org/officeDocument/2006/docPropsVTypes"/>
</file>