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AE826" w14:textId="3F6ABC46" w:rsidR="006816F5" w:rsidRDefault="00F969F5" w:rsidP="004C7F22">
      <w:pPr>
        <w:rPr>
          <w:sz w:val="24"/>
        </w:rPr>
      </w:pPr>
      <w:r>
        <w:t xml:space="preserve">After exporting the data from Animal Behaviour Pro, we designated specific environmental factors and focal characteristics as independent variables (see </w:t>
      </w:r>
      <w:r w:rsidRPr="00F21572">
        <w:rPr>
          <w:highlight w:val="green"/>
        </w:rPr>
        <w:t>Table 1</w:t>
      </w:r>
      <w:r>
        <w:t xml:space="preserve">). </w:t>
      </w:r>
      <w:r w:rsidR="00A80B06">
        <w:rPr>
          <w:sz w:val="24"/>
        </w:rPr>
        <w:t xml:space="preserve">Overall, we </w:t>
      </w:r>
      <w:r>
        <w:rPr>
          <w:sz w:val="24"/>
        </w:rPr>
        <w:t>obtained</w:t>
      </w:r>
      <w:r w:rsidR="00A80B06">
        <w:rPr>
          <w:sz w:val="24"/>
        </w:rPr>
        <w:t xml:space="preserve"> 199.38 hours of focal sample data</w:t>
      </w:r>
      <w:r w:rsidR="00066A77">
        <w:rPr>
          <w:sz w:val="24"/>
        </w:rPr>
        <w:t xml:space="preserve"> </w:t>
      </w:r>
      <w:r w:rsidR="00A80B06">
        <w:rPr>
          <w:sz w:val="24"/>
        </w:rPr>
        <w:t xml:space="preserve">and </w:t>
      </w:r>
      <w:r w:rsidR="00A80B06" w:rsidRPr="001D4550">
        <w:rPr>
          <w:sz w:val="24"/>
          <w:highlight w:val="yellow"/>
        </w:rPr>
        <w:t>____</w:t>
      </w:r>
      <w:r w:rsidR="00A80B06">
        <w:rPr>
          <w:sz w:val="24"/>
        </w:rPr>
        <w:t xml:space="preserve"> sc</w:t>
      </w:r>
      <w:r w:rsidR="001D4550">
        <w:rPr>
          <w:sz w:val="24"/>
        </w:rPr>
        <w:t>an samples</w:t>
      </w:r>
      <w:r w:rsidR="00066A77">
        <w:rPr>
          <w:sz w:val="24"/>
        </w:rPr>
        <w:t xml:space="preserve"> that met our criteria for analysis</w:t>
      </w:r>
      <w:r>
        <w:rPr>
          <w:sz w:val="24"/>
        </w:rPr>
        <w:t>. Focal samples were evenly distributed among individuals and months while scans were evenly distributed among social groups and months</w:t>
      </w:r>
      <w:r w:rsidR="001D4550">
        <w:rPr>
          <w:sz w:val="24"/>
        </w:rPr>
        <w:t xml:space="preserve">. </w:t>
      </w:r>
      <w:r w:rsidR="001D729C">
        <w:t>We</w:t>
      </w:r>
      <w:r w:rsidR="0019472C">
        <w:t xml:space="preserve"> then used the </w:t>
      </w:r>
      <w:proofErr w:type="spellStart"/>
      <w:r w:rsidR="0019472C">
        <w:t>dplyr</w:t>
      </w:r>
      <w:proofErr w:type="spellEnd"/>
      <w:r w:rsidR="0019472C">
        <w:t xml:space="preserve"> package in R (cite) to </w:t>
      </w:r>
      <w:r w:rsidR="0019472C">
        <w:rPr>
          <w:sz w:val="24"/>
        </w:rPr>
        <w:t>aggregate, summarize, and explore the data sets from both focal and scan sampling.</w:t>
      </w:r>
      <w:r w:rsidR="001D729C">
        <w:rPr>
          <w:sz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53"/>
        <w:gridCol w:w="1582"/>
        <w:gridCol w:w="1230"/>
        <w:gridCol w:w="540"/>
        <w:gridCol w:w="1530"/>
        <w:gridCol w:w="3415"/>
      </w:tblGrid>
      <w:tr w:rsidR="009E7193" w14:paraId="0466899D" w14:textId="2D271D33" w:rsidTr="002B18C6">
        <w:tc>
          <w:tcPr>
            <w:tcW w:w="9350" w:type="dxa"/>
            <w:gridSpan w:val="6"/>
          </w:tcPr>
          <w:p w14:paraId="50980651" w14:textId="08171306" w:rsidR="009E7193" w:rsidRPr="00E1269B" w:rsidRDefault="009E7193" w:rsidP="004C7F22">
            <w:pPr>
              <w:rPr>
                <w:highlight w:val="green"/>
              </w:rPr>
            </w:pPr>
            <w:r w:rsidRPr="00E1269B">
              <w:rPr>
                <w:highlight w:val="green"/>
              </w:rPr>
              <w:t>Table 1</w:t>
            </w:r>
            <w:r w:rsidRPr="00833CDC">
              <w:rPr>
                <w:highlight w:val="green"/>
              </w:rPr>
              <w:t xml:space="preserve">: </w:t>
            </w:r>
            <w:r>
              <w:rPr>
                <w:highlight w:val="green"/>
              </w:rPr>
              <w:t xml:space="preserve">Independent </w:t>
            </w:r>
            <w:r w:rsidRPr="00833CDC">
              <w:rPr>
                <w:highlight w:val="green"/>
              </w:rPr>
              <w:t>Variable</w:t>
            </w:r>
            <w:r w:rsidRPr="00A300AD">
              <w:rPr>
                <w:highlight w:val="green"/>
              </w:rPr>
              <w:t>s</w:t>
            </w:r>
          </w:p>
        </w:tc>
      </w:tr>
      <w:tr w:rsidR="009E7193" w:rsidRPr="00FD61AD" w14:paraId="1776A1EF" w14:textId="7B346DAB" w:rsidTr="002B18C6">
        <w:tc>
          <w:tcPr>
            <w:tcW w:w="1053" w:type="dxa"/>
          </w:tcPr>
          <w:p w14:paraId="6CBA05CD" w14:textId="5D7FCC79" w:rsidR="009E7193" w:rsidRPr="00FD61AD" w:rsidRDefault="009E7193" w:rsidP="004C7F22">
            <w:pPr>
              <w:rPr>
                <w:b/>
              </w:rPr>
            </w:pPr>
            <w:r w:rsidRPr="00FD61AD">
              <w:rPr>
                <w:b/>
              </w:rPr>
              <w:t>Variable</w:t>
            </w:r>
          </w:p>
        </w:tc>
        <w:tc>
          <w:tcPr>
            <w:tcW w:w="1582" w:type="dxa"/>
          </w:tcPr>
          <w:p w14:paraId="377D8B66" w14:textId="45FD84DA" w:rsidR="009E7193" w:rsidRPr="00FD61AD" w:rsidRDefault="009E7193" w:rsidP="004C7F22">
            <w:pPr>
              <w:rPr>
                <w:b/>
              </w:rPr>
            </w:pPr>
            <w:r w:rsidRPr="00FD61AD">
              <w:rPr>
                <w:b/>
              </w:rPr>
              <w:t>Description</w:t>
            </w:r>
          </w:p>
        </w:tc>
        <w:tc>
          <w:tcPr>
            <w:tcW w:w="1230" w:type="dxa"/>
          </w:tcPr>
          <w:p w14:paraId="6659A0B1" w14:textId="3122C251" w:rsidR="009E7193" w:rsidRPr="00FD61AD" w:rsidRDefault="009E7193" w:rsidP="004C7F22">
            <w:pPr>
              <w:rPr>
                <w:b/>
              </w:rPr>
            </w:pPr>
            <w:r w:rsidRPr="00FD61AD">
              <w:rPr>
                <w:b/>
              </w:rPr>
              <w:t>Levels</w:t>
            </w:r>
          </w:p>
        </w:tc>
        <w:tc>
          <w:tcPr>
            <w:tcW w:w="540" w:type="dxa"/>
          </w:tcPr>
          <w:p w14:paraId="571C2F4B" w14:textId="7112DD8F" w:rsidR="009E7193" w:rsidRPr="00FD61AD" w:rsidRDefault="009E7193" w:rsidP="004C7F22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30" w:type="dxa"/>
          </w:tcPr>
          <w:p w14:paraId="3037854B" w14:textId="7F8B99E1" w:rsidR="009E7193" w:rsidRDefault="009E7193" w:rsidP="004C7F22">
            <w:pPr>
              <w:rPr>
                <w:b/>
              </w:rPr>
            </w:pPr>
            <w:r>
              <w:rPr>
                <w:b/>
              </w:rPr>
              <w:t>Focal Time (h)</w:t>
            </w:r>
          </w:p>
        </w:tc>
        <w:tc>
          <w:tcPr>
            <w:tcW w:w="3415" w:type="dxa"/>
          </w:tcPr>
          <w:p w14:paraId="25603D26" w14:textId="560EBB2A" w:rsidR="009E7193" w:rsidRDefault="009E7193" w:rsidP="004C7F22">
            <w:pPr>
              <w:rPr>
                <w:b/>
              </w:rPr>
            </w:pPr>
            <w:r>
              <w:rPr>
                <w:b/>
              </w:rPr>
              <w:t>Scan Samples</w:t>
            </w:r>
          </w:p>
        </w:tc>
      </w:tr>
      <w:tr w:rsidR="009E7193" w14:paraId="197CD382" w14:textId="6601007E" w:rsidTr="002B18C6">
        <w:tc>
          <w:tcPr>
            <w:tcW w:w="1053" w:type="dxa"/>
          </w:tcPr>
          <w:p w14:paraId="3D2F1C6D" w14:textId="42C46FA5" w:rsidR="009E7193" w:rsidRDefault="009E7193" w:rsidP="004C7F22">
            <w:r>
              <w:t>Month</w:t>
            </w:r>
          </w:p>
        </w:tc>
        <w:tc>
          <w:tcPr>
            <w:tcW w:w="1582" w:type="dxa"/>
          </w:tcPr>
          <w:p w14:paraId="536249D4" w14:textId="2BFCFE43" w:rsidR="009E7193" w:rsidRDefault="009E7193" w:rsidP="004C7F22">
            <w:r>
              <w:t>The month in which we collected the sample</w:t>
            </w:r>
            <w:bookmarkStart w:id="0" w:name="_GoBack"/>
            <w:bookmarkEnd w:id="0"/>
          </w:p>
        </w:tc>
        <w:tc>
          <w:tcPr>
            <w:tcW w:w="1230" w:type="dxa"/>
          </w:tcPr>
          <w:p w14:paraId="7CB727BF" w14:textId="0788D2F9" w:rsidR="009E7193" w:rsidRDefault="009E7193" w:rsidP="004C7F22">
            <w:r>
              <w:t>M1, M2, M3</w:t>
            </w:r>
          </w:p>
        </w:tc>
        <w:tc>
          <w:tcPr>
            <w:tcW w:w="540" w:type="dxa"/>
          </w:tcPr>
          <w:p w14:paraId="7EFE9372" w14:textId="7BCAB068" w:rsidR="009E7193" w:rsidRDefault="009E7193" w:rsidP="004C7F22">
            <w:r>
              <w:t>3</w:t>
            </w:r>
          </w:p>
        </w:tc>
        <w:tc>
          <w:tcPr>
            <w:tcW w:w="1530" w:type="dxa"/>
          </w:tcPr>
          <w:p w14:paraId="6CA4F112" w14:textId="77777777" w:rsidR="009E7193" w:rsidRDefault="00743C14" w:rsidP="004C7F22">
            <w:r>
              <w:t>M = 66.46</w:t>
            </w:r>
          </w:p>
          <w:p w14:paraId="6A9EB25A" w14:textId="298E431C" w:rsidR="00743C14" w:rsidRDefault="00743C14" w:rsidP="004C7F22">
            <w:r>
              <w:t>SD = 9.85</w:t>
            </w:r>
          </w:p>
        </w:tc>
        <w:tc>
          <w:tcPr>
            <w:tcW w:w="3415" w:type="dxa"/>
          </w:tcPr>
          <w:p w14:paraId="4F7CC86D" w14:textId="77777777" w:rsidR="009E7193" w:rsidRDefault="009E7193" w:rsidP="004C7F22"/>
        </w:tc>
      </w:tr>
      <w:tr w:rsidR="009E7193" w14:paraId="0675324C" w14:textId="08902058" w:rsidTr="002B18C6">
        <w:tc>
          <w:tcPr>
            <w:tcW w:w="1053" w:type="dxa"/>
          </w:tcPr>
          <w:p w14:paraId="64CAE549" w14:textId="2D38B851" w:rsidR="009E7193" w:rsidRDefault="009E7193" w:rsidP="004C7F22">
            <w:r>
              <w:t>Focal ID</w:t>
            </w:r>
          </w:p>
        </w:tc>
        <w:tc>
          <w:tcPr>
            <w:tcW w:w="1582" w:type="dxa"/>
          </w:tcPr>
          <w:p w14:paraId="56CB1129" w14:textId="6A0820C2" w:rsidR="009E7193" w:rsidRDefault="009E7193" w:rsidP="004C7F22">
            <w:r>
              <w:t>The identity of the focal individual</w:t>
            </w:r>
          </w:p>
        </w:tc>
        <w:tc>
          <w:tcPr>
            <w:tcW w:w="1230" w:type="dxa"/>
          </w:tcPr>
          <w:p w14:paraId="475E4476" w14:textId="525B6AA1" w:rsidR="009E7193" w:rsidRDefault="009E7193" w:rsidP="004C7F22">
            <w:r>
              <w:t xml:space="preserve">CL, DU, FY, MA, ME, PA, PE, PO, </w:t>
            </w:r>
            <w:r w:rsidR="00472FBC">
              <w:t>PP, RK</w:t>
            </w:r>
            <w:r w:rsidR="00F41CDC">
              <w:t>, TR</w:t>
            </w:r>
          </w:p>
        </w:tc>
        <w:tc>
          <w:tcPr>
            <w:tcW w:w="540" w:type="dxa"/>
          </w:tcPr>
          <w:p w14:paraId="4318C8A2" w14:textId="108DFE93" w:rsidR="009E7193" w:rsidRDefault="00127E5F" w:rsidP="004C7F22">
            <w:r>
              <w:t>11</w:t>
            </w:r>
          </w:p>
        </w:tc>
        <w:tc>
          <w:tcPr>
            <w:tcW w:w="1530" w:type="dxa"/>
          </w:tcPr>
          <w:p w14:paraId="3867DD1D" w14:textId="77777777" w:rsidR="009E7193" w:rsidRDefault="00743C14" w:rsidP="004C7F22">
            <w:r>
              <w:t>M = 18.13</w:t>
            </w:r>
          </w:p>
          <w:p w14:paraId="28785341" w14:textId="72CCBE73" w:rsidR="00743C14" w:rsidRDefault="00743C14" w:rsidP="004C7F22">
            <w:r>
              <w:t>SD = 1.44</w:t>
            </w:r>
          </w:p>
        </w:tc>
        <w:tc>
          <w:tcPr>
            <w:tcW w:w="3415" w:type="dxa"/>
          </w:tcPr>
          <w:p w14:paraId="1C358C7A" w14:textId="77777777" w:rsidR="009E7193" w:rsidRDefault="009E7193" w:rsidP="004C7F22"/>
        </w:tc>
      </w:tr>
      <w:tr w:rsidR="009E7193" w14:paraId="6142C12D" w14:textId="2E4B9D39" w:rsidTr="002B18C6">
        <w:tc>
          <w:tcPr>
            <w:tcW w:w="1053" w:type="dxa"/>
          </w:tcPr>
          <w:p w14:paraId="59172F67" w14:textId="0F52CCF4" w:rsidR="009E7193" w:rsidRDefault="009E7193" w:rsidP="004C7F22">
            <w:r>
              <w:t>Focal Group</w:t>
            </w:r>
          </w:p>
        </w:tc>
        <w:tc>
          <w:tcPr>
            <w:tcW w:w="1582" w:type="dxa"/>
          </w:tcPr>
          <w:p w14:paraId="6982592F" w14:textId="3D521492" w:rsidR="009E7193" w:rsidRDefault="009E7193" w:rsidP="004C7F22">
            <w:r>
              <w:t>The identity of the focal’s social group</w:t>
            </w:r>
          </w:p>
        </w:tc>
        <w:tc>
          <w:tcPr>
            <w:tcW w:w="1230" w:type="dxa"/>
          </w:tcPr>
          <w:p w14:paraId="48A446F3" w14:textId="09DC4967" w:rsidR="009E7193" w:rsidRDefault="00743C14" w:rsidP="004C7F22">
            <w:r>
              <w:t>Sat1, Sat2, Sat3</w:t>
            </w:r>
          </w:p>
        </w:tc>
        <w:tc>
          <w:tcPr>
            <w:tcW w:w="540" w:type="dxa"/>
          </w:tcPr>
          <w:p w14:paraId="16846AFC" w14:textId="62F8986B" w:rsidR="009E7193" w:rsidRDefault="00743C14" w:rsidP="004C7F22">
            <w:r>
              <w:t>3</w:t>
            </w:r>
          </w:p>
        </w:tc>
        <w:tc>
          <w:tcPr>
            <w:tcW w:w="1530" w:type="dxa"/>
          </w:tcPr>
          <w:p w14:paraId="0DB85E8B" w14:textId="77777777" w:rsidR="009E7193" w:rsidRDefault="00743C14" w:rsidP="004C7F22">
            <w:r>
              <w:t>M = 66.46</w:t>
            </w:r>
          </w:p>
          <w:p w14:paraId="0336BABA" w14:textId="751C6869" w:rsidR="00743C14" w:rsidRDefault="00743C14" w:rsidP="004C7F22">
            <w:r>
              <w:t>SD = 31.84</w:t>
            </w:r>
          </w:p>
        </w:tc>
        <w:tc>
          <w:tcPr>
            <w:tcW w:w="3415" w:type="dxa"/>
          </w:tcPr>
          <w:p w14:paraId="25DB6CCC" w14:textId="77777777" w:rsidR="009E7193" w:rsidRDefault="009E7193" w:rsidP="004C7F22"/>
        </w:tc>
      </w:tr>
      <w:tr w:rsidR="009E7193" w14:paraId="347AE45C" w14:textId="3A749D62" w:rsidTr="002B18C6">
        <w:tc>
          <w:tcPr>
            <w:tcW w:w="1053" w:type="dxa"/>
          </w:tcPr>
          <w:p w14:paraId="58F9C093" w14:textId="653BD14E" w:rsidR="009E7193" w:rsidRDefault="009E7193" w:rsidP="004C7F22">
            <w:r>
              <w:t>Focal Sex</w:t>
            </w:r>
          </w:p>
        </w:tc>
        <w:tc>
          <w:tcPr>
            <w:tcW w:w="1582" w:type="dxa"/>
          </w:tcPr>
          <w:p w14:paraId="005DB075" w14:textId="17A84FE7" w:rsidR="009E7193" w:rsidRDefault="009E7193" w:rsidP="004C7F22">
            <w:r>
              <w:t>The biological sex of the focal individual</w:t>
            </w:r>
          </w:p>
        </w:tc>
        <w:tc>
          <w:tcPr>
            <w:tcW w:w="1230" w:type="dxa"/>
          </w:tcPr>
          <w:p w14:paraId="25471EF2" w14:textId="0EDC5F12" w:rsidR="009E7193" w:rsidRDefault="00743C14" w:rsidP="004C7F22">
            <w:r>
              <w:t>Female, Male</w:t>
            </w:r>
          </w:p>
        </w:tc>
        <w:tc>
          <w:tcPr>
            <w:tcW w:w="540" w:type="dxa"/>
          </w:tcPr>
          <w:p w14:paraId="56DB4368" w14:textId="434104BD" w:rsidR="009E7193" w:rsidRDefault="00743C14" w:rsidP="004C7F22">
            <w:r>
              <w:t>2</w:t>
            </w:r>
          </w:p>
        </w:tc>
        <w:tc>
          <w:tcPr>
            <w:tcW w:w="1530" w:type="dxa"/>
          </w:tcPr>
          <w:p w14:paraId="10A2CA88" w14:textId="77777777" w:rsidR="009E7193" w:rsidRDefault="00743C14" w:rsidP="004C7F22">
            <w:r>
              <w:t>M = 99.69</w:t>
            </w:r>
          </w:p>
          <w:p w14:paraId="56164EC1" w14:textId="20246DFC" w:rsidR="00743C14" w:rsidRDefault="00743C14" w:rsidP="004C7F22">
            <w:r>
              <w:t>SD = 90.52</w:t>
            </w:r>
          </w:p>
        </w:tc>
        <w:tc>
          <w:tcPr>
            <w:tcW w:w="3415" w:type="dxa"/>
          </w:tcPr>
          <w:p w14:paraId="26C6882D" w14:textId="77777777" w:rsidR="009E7193" w:rsidRDefault="009E7193" w:rsidP="004C7F22"/>
        </w:tc>
      </w:tr>
      <w:tr w:rsidR="009E7193" w14:paraId="07E0ADAA" w14:textId="75C27406" w:rsidTr="002B18C6">
        <w:tc>
          <w:tcPr>
            <w:tcW w:w="1053" w:type="dxa"/>
          </w:tcPr>
          <w:p w14:paraId="6997795B" w14:textId="39591A16" w:rsidR="009E7193" w:rsidRDefault="009E7193" w:rsidP="004C7F22">
            <w:r>
              <w:t>Focal Age</w:t>
            </w:r>
          </w:p>
        </w:tc>
        <w:tc>
          <w:tcPr>
            <w:tcW w:w="1582" w:type="dxa"/>
          </w:tcPr>
          <w:p w14:paraId="73179363" w14:textId="7F062E73" w:rsidR="009E7193" w:rsidRDefault="009E7193" w:rsidP="004C7F22">
            <w:r>
              <w:t>The approximate age class of the focal individual</w:t>
            </w:r>
          </w:p>
        </w:tc>
        <w:tc>
          <w:tcPr>
            <w:tcW w:w="1230" w:type="dxa"/>
          </w:tcPr>
          <w:p w14:paraId="6A7E3C6A" w14:textId="347AE811" w:rsidR="009E7193" w:rsidRDefault="00743C14" w:rsidP="004C7F22">
            <w:r>
              <w:t>Subadult, Adult</w:t>
            </w:r>
          </w:p>
        </w:tc>
        <w:tc>
          <w:tcPr>
            <w:tcW w:w="540" w:type="dxa"/>
          </w:tcPr>
          <w:p w14:paraId="5783F86E" w14:textId="6A25B296" w:rsidR="009E7193" w:rsidRDefault="00743C14" w:rsidP="004C7F22">
            <w:r>
              <w:t>2</w:t>
            </w:r>
          </w:p>
        </w:tc>
        <w:tc>
          <w:tcPr>
            <w:tcW w:w="1530" w:type="dxa"/>
          </w:tcPr>
          <w:p w14:paraId="131F8F0E" w14:textId="77777777" w:rsidR="009E7193" w:rsidRDefault="009E7193" w:rsidP="004C7F22"/>
        </w:tc>
        <w:tc>
          <w:tcPr>
            <w:tcW w:w="3415" w:type="dxa"/>
          </w:tcPr>
          <w:p w14:paraId="3FEA1266" w14:textId="77777777" w:rsidR="009E7193" w:rsidRDefault="009E7193" w:rsidP="004C7F22"/>
        </w:tc>
      </w:tr>
      <w:tr w:rsidR="009E7193" w14:paraId="5A02641E" w14:textId="521458FE" w:rsidTr="002B18C6">
        <w:tc>
          <w:tcPr>
            <w:tcW w:w="1053" w:type="dxa"/>
          </w:tcPr>
          <w:p w14:paraId="51730F99" w14:textId="77777777" w:rsidR="009E7193" w:rsidRDefault="009E7193" w:rsidP="004C7F22"/>
        </w:tc>
        <w:tc>
          <w:tcPr>
            <w:tcW w:w="1582" w:type="dxa"/>
          </w:tcPr>
          <w:p w14:paraId="462A4D4E" w14:textId="77777777" w:rsidR="009E7193" w:rsidRDefault="009E7193" w:rsidP="004C7F22"/>
        </w:tc>
        <w:tc>
          <w:tcPr>
            <w:tcW w:w="1230" w:type="dxa"/>
          </w:tcPr>
          <w:p w14:paraId="5FE47251" w14:textId="77777777" w:rsidR="009E7193" w:rsidRDefault="009E7193" w:rsidP="004C7F22"/>
        </w:tc>
        <w:tc>
          <w:tcPr>
            <w:tcW w:w="540" w:type="dxa"/>
          </w:tcPr>
          <w:p w14:paraId="7A1825D6" w14:textId="77777777" w:rsidR="009E7193" w:rsidRDefault="009E7193" w:rsidP="004C7F22"/>
        </w:tc>
        <w:tc>
          <w:tcPr>
            <w:tcW w:w="1530" w:type="dxa"/>
          </w:tcPr>
          <w:p w14:paraId="14C81294" w14:textId="77777777" w:rsidR="009E7193" w:rsidRDefault="009E7193" w:rsidP="004C7F22"/>
        </w:tc>
        <w:tc>
          <w:tcPr>
            <w:tcW w:w="3415" w:type="dxa"/>
          </w:tcPr>
          <w:p w14:paraId="71A6DB97" w14:textId="77777777" w:rsidR="009E7193" w:rsidRDefault="009E7193" w:rsidP="004C7F22"/>
        </w:tc>
      </w:tr>
    </w:tbl>
    <w:p w14:paraId="395B55F7" w14:textId="77777777" w:rsidR="001E2807" w:rsidRDefault="001E2807" w:rsidP="004C7F22"/>
    <w:p w14:paraId="38E64123" w14:textId="13EFEA29" w:rsidR="00033AC7" w:rsidRDefault="00B657E4" w:rsidP="00033AC7">
      <w:pPr>
        <w:pStyle w:val="ListParagraph"/>
        <w:numPr>
          <w:ilvl w:val="0"/>
          <w:numId w:val="1"/>
        </w:numPr>
      </w:pPr>
      <w:r>
        <w:t>ENCLOSURE PREFERENCE</w:t>
      </w:r>
    </w:p>
    <w:p w14:paraId="027CB788" w14:textId="59D28750" w:rsidR="00B657E4" w:rsidRDefault="00B657E4" w:rsidP="00B150FB">
      <w:pPr>
        <w:rPr>
          <w:sz w:val="24"/>
        </w:rPr>
      </w:pPr>
      <w:r>
        <w:rPr>
          <w:sz w:val="24"/>
        </w:rPr>
        <w:t>Method:</w:t>
      </w:r>
      <w:r>
        <w:rPr>
          <w:sz w:val="24"/>
        </w:rPr>
        <w:br/>
      </w:r>
      <w:r w:rsidR="008341B6">
        <w:rPr>
          <w:sz w:val="24"/>
        </w:rPr>
        <w:t xml:space="preserve">Using the focal data, we </w:t>
      </w:r>
      <w:r w:rsidR="00B26D29">
        <w:rPr>
          <w:sz w:val="24"/>
        </w:rPr>
        <w:t>identified each individual’s preferred enclosure</w:t>
      </w:r>
      <w:r w:rsidR="009478EF">
        <w:rPr>
          <w:sz w:val="24"/>
        </w:rPr>
        <w:t>. We did this</w:t>
      </w:r>
      <w:r w:rsidR="00B26D29">
        <w:rPr>
          <w:sz w:val="24"/>
        </w:rPr>
        <w:t xml:space="preserve"> by</w:t>
      </w:r>
      <w:r w:rsidR="00176691">
        <w:rPr>
          <w:sz w:val="24"/>
        </w:rPr>
        <w:t xml:space="preserve"> calculating </w:t>
      </w:r>
      <w:r w:rsidR="002751E9">
        <w:rPr>
          <w:sz w:val="24"/>
        </w:rPr>
        <w:t xml:space="preserve">the total </w:t>
      </w:r>
      <w:r w:rsidR="005E3568">
        <w:rPr>
          <w:sz w:val="24"/>
        </w:rPr>
        <w:t xml:space="preserve">focal </w:t>
      </w:r>
      <w:r w:rsidR="002751E9">
        <w:rPr>
          <w:sz w:val="24"/>
        </w:rPr>
        <w:t xml:space="preserve">time </w:t>
      </w:r>
      <w:r w:rsidR="005E3568">
        <w:rPr>
          <w:sz w:val="24"/>
        </w:rPr>
        <w:t xml:space="preserve">that </w:t>
      </w:r>
      <w:r w:rsidR="00176691">
        <w:rPr>
          <w:sz w:val="24"/>
        </w:rPr>
        <w:t xml:space="preserve">each individual </w:t>
      </w:r>
      <w:r w:rsidR="002751E9">
        <w:rPr>
          <w:sz w:val="24"/>
        </w:rPr>
        <w:t>spent in the Center Enclosure when both the Center and Satellite Enclosures were accessible</w:t>
      </w:r>
      <w:r w:rsidR="00176691">
        <w:rPr>
          <w:sz w:val="24"/>
        </w:rPr>
        <w:t xml:space="preserve"> and dividing it</w:t>
      </w:r>
      <w:r w:rsidR="009478EF">
        <w:rPr>
          <w:sz w:val="24"/>
        </w:rPr>
        <w:t xml:space="preserve"> </w:t>
      </w:r>
      <w:r w:rsidR="00176691">
        <w:rPr>
          <w:sz w:val="24"/>
        </w:rPr>
        <w:t xml:space="preserve">by the total </w:t>
      </w:r>
      <w:r w:rsidR="005E3568">
        <w:rPr>
          <w:sz w:val="24"/>
        </w:rPr>
        <w:t xml:space="preserve">amount of focal </w:t>
      </w:r>
      <w:r w:rsidR="00176691">
        <w:rPr>
          <w:sz w:val="24"/>
        </w:rPr>
        <w:t>time that both enclosures were accessible.</w:t>
      </w:r>
      <w:r w:rsidR="00BC6DF2">
        <w:rPr>
          <w:sz w:val="24"/>
        </w:rPr>
        <w:t xml:space="preserve"> We then used the methods outlined by </w:t>
      </w:r>
      <w:proofErr w:type="spellStart"/>
      <w:r w:rsidR="00BC6DF2">
        <w:rPr>
          <w:sz w:val="24"/>
        </w:rPr>
        <w:t>Zuur</w:t>
      </w:r>
      <w:proofErr w:type="spellEnd"/>
      <w:r w:rsidR="00BC6DF2">
        <w:rPr>
          <w:sz w:val="24"/>
        </w:rPr>
        <w:t xml:space="preserve"> et al (cite) to construct a </w:t>
      </w:r>
      <w:r w:rsidR="00530490">
        <w:rPr>
          <w:sz w:val="24"/>
        </w:rPr>
        <w:t xml:space="preserve">generalized linear mixed model (GLMM) </w:t>
      </w:r>
      <w:r w:rsidR="00A54034">
        <w:rPr>
          <w:sz w:val="24"/>
        </w:rPr>
        <w:t xml:space="preserve">that fit the data. </w:t>
      </w:r>
    </w:p>
    <w:p w14:paraId="745DA6F1" w14:textId="47072B8A" w:rsidR="00033AC7" w:rsidRDefault="00A013BA" w:rsidP="00B657E4">
      <w:pPr>
        <w:pStyle w:val="ListParagraph"/>
        <w:numPr>
          <w:ilvl w:val="0"/>
          <w:numId w:val="1"/>
        </w:numPr>
      </w:pPr>
      <w:r>
        <w:t>Social Proximity</w:t>
      </w:r>
    </w:p>
    <w:p w14:paraId="47DA537A" w14:textId="77777777" w:rsidR="00033AC7" w:rsidRDefault="00033AC7" w:rsidP="00033AC7">
      <w:pPr>
        <w:pStyle w:val="ListParagraph"/>
        <w:numPr>
          <w:ilvl w:val="0"/>
          <w:numId w:val="1"/>
        </w:numPr>
      </w:pPr>
      <w:r>
        <w:t>Activity Budgets</w:t>
      </w:r>
    </w:p>
    <w:sectPr w:rsidR="0003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132B"/>
    <w:multiLevelType w:val="hybridMultilevel"/>
    <w:tmpl w:val="577E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C7"/>
    <w:rsid w:val="00033AC7"/>
    <w:rsid w:val="0004190F"/>
    <w:rsid w:val="00066A77"/>
    <w:rsid w:val="000E414B"/>
    <w:rsid w:val="000E78AA"/>
    <w:rsid w:val="00116A1F"/>
    <w:rsid w:val="00127E5F"/>
    <w:rsid w:val="00176691"/>
    <w:rsid w:val="0019472C"/>
    <w:rsid w:val="001D4550"/>
    <w:rsid w:val="001D729C"/>
    <w:rsid w:val="001E2807"/>
    <w:rsid w:val="00267CCC"/>
    <w:rsid w:val="002751E9"/>
    <w:rsid w:val="002A1A00"/>
    <w:rsid w:val="002B18C6"/>
    <w:rsid w:val="002C7684"/>
    <w:rsid w:val="003140CD"/>
    <w:rsid w:val="003E04D5"/>
    <w:rsid w:val="00452087"/>
    <w:rsid w:val="00472FBC"/>
    <w:rsid w:val="004970FC"/>
    <w:rsid w:val="004C7F22"/>
    <w:rsid w:val="00530490"/>
    <w:rsid w:val="00540F64"/>
    <w:rsid w:val="005A129D"/>
    <w:rsid w:val="005E3568"/>
    <w:rsid w:val="005F0A6B"/>
    <w:rsid w:val="00664B46"/>
    <w:rsid w:val="006816F5"/>
    <w:rsid w:val="006A0995"/>
    <w:rsid w:val="006A40B0"/>
    <w:rsid w:val="006D6D12"/>
    <w:rsid w:val="007128EF"/>
    <w:rsid w:val="00743C14"/>
    <w:rsid w:val="00757BC9"/>
    <w:rsid w:val="00833CDC"/>
    <w:rsid w:val="008341B6"/>
    <w:rsid w:val="008525E9"/>
    <w:rsid w:val="00865FFE"/>
    <w:rsid w:val="008A6028"/>
    <w:rsid w:val="008C140A"/>
    <w:rsid w:val="009128BB"/>
    <w:rsid w:val="0092240A"/>
    <w:rsid w:val="009478EF"/>
    <w:rsid w:val="009E7193"/>
    <w:rsid w:val="00A013BA"/>
    <w:rsid w:val="00A04C4B"/>
    <w:rsid w:val="00A300AD"/>
    <w:rsid w:val="00A54034"/>
    <w:rsid w:val="00A80B06"/>
    <w:rsid w:val="00B150FB"/>
    <w:rsid w:val="00B26D29"/>
    <w:rsid w:val="00B464D9"/>
    <w:rsid w:val="00B657E4"/>
    <w:rsid w:val="00BC6DF2"/>
    <w:rsid w:val="00C65E6E"/>
    <w:rsid w:val="00C76398"/>
    <w:rsid w:val="00CB42CA"/>
    <w:rsid w:val="00CD7464"/>
    <w:rsid w:val="00E1269B"/>
    <w:rsid w:val="00ED6D75"/>
    <w:rsid w:val="00F21572"/>
    <w:rsid w:val="00F41CDC"/>
    <w:rsid w:val="00F969F5"/>
    <w:rsid w:val="00FB00A2"/>
    <w:rsid w:val="00FD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94E7"/>
  <w15:chartTrackingRefBased/>
  <w15:docId w15:val="{5E5967FD-B3A2-4252-B310-72CBF640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C7"/>
    <w:pPr>
      <w:ind w:left="720"/>
      <w:contextualSpacing/>
    </w:pPr>
  </w:style>
  <w:style w:type="table" w:styleId="TableGrid">
    <w:name w:val="Table Grid"/>
    <w:basedOn w:val="TableNormal"/>
    <w:uiPriority w:val="39"/>
    <w:rsid w:val="001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Denice</dc:creator>
  <cp:keywords/>
  <dc:description/>
  <cp:lastModifiedBy>Anthony Denice</cp:lastModifiedBy>
  <cp:revision>64</cp:revision>
  <dcterms:created xsi:type="dcterms:W3CDTF">2019-04-15T02:51:00Z</dcterms:created>
  <dcterms:modified xsi:type="dcterms:W3CDTF">2019-04-20T16:26:00Z</dcterms:modified>
</cp:coreProperties>
</file>