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 w:eastAsia="Arial" w:cs="Arial"/>
          <w:b/>
          <w:color w:val="1F4E79"/>
          <w:sz w:val="44"/>
        </w:rPr>
        <w:t>سند مشخصات فنی پروژه</w:t>
      </w:r>
    </w:p>
    <w:p>
      <w:pPr>
        <w:jc w:val="center"/>
        <w:bidi w:val="1"/>
      </w:pPr>
      <w:r>
        <w:rPr>
          <w:rFonts w:ascii="Arial" w:hAnsi="Arial" w:eastAsia="Arial" w:cs="Arial"/>
          <w:b/>
          <w:sz w:val="28"/>
        </w:rPr>
        <w:t>سامانهٔ هوش مصنوعی پردازش تصاویر CT با خروجی‌های استاندارد DICOM</w:t>
      </w:r>
    </w:p>
    <w:p>
      <w:pPr>
        <w:jc w:val="center"/>
        <w:bidi w:val="1"/>
      </w:pPr>
      <w:r>
        <w:rPr>
          <w:rFonts w:ascii="Arial" w:hAnsi="Arial" w:eastAsia="Arial" w:cs="Arial"/>
          <w:color w:val="5A5A5A"/>
          <w:sz w:val="20"/>
        </w:rPr>
        <w:t>نسخهٔ اولیه برای پیاده‌سازی با Claude Code و استقرار روی Kubernetes</w:t>
      </w:r>
    </w:p>
    <w:p/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F4E79"/>
          <w:sz w:val="32"/>
        </w:rPr>
        <w:t>۱. هدف و محدودهٔ پروژه</w:t>
      </w:r>
    </w:p>
    <w:p>
      <w:pPr>
        <w:jc w:val="right"/>
        <w:bidi w:val="1"/>
      </w:pPr>
      <w:r>
        <w:rPr>
          <w:rFonts w:ascii="Arial" w:hAnsi="Arial" w:eastAsia="Arial" w:cs="Arial"/>
          <w:sz w:val="21"/>
        </w:rPr>
        <w:t>هدف، ساخت یک خط لولهٔ نرم‌افزاری ماژولار برای دریافت مطالعات CT، اعتبارسنجی و پیش‌پردازش تصاویر، اجرای مدل‌های هوش مصنوعی، پس‌پردازش نتایج و تولید خروجی‌های قابل ردیابی است. سامانه باید از پردازش دسته‌ای (Batch)، اجرای موازی روی چند GPU و استقرار در Kubernetes پشتیبانی کند.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ورودی اصلی: مطالعات DICOM از مدالیتهٔ CT.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خروجی‌ها: DICOM SEG، DICOM SR و تصویر Overlay برای بازبینی.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مدل‌ها باید از طریق یک رابط استاندارد قابل تعویض باشند؛ هستهٔ سامانه نباید به یک مدل خاص وابسته شود.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هر اجرا باید نسخهٔ مدل، تنظیمات پیش‌پردازش، پارامترها، شناسهٔ ورودی و وضعیت اجرای خود را ثبت کند.</w:t>
      </w:r>
    </w:p>
    <w:p>
      <w:pPr>
        <w:jc w:val="right"/>
        <w:bidi w:val="1"/>
      </w:pPr>
      <w:r>
        <w:rPr>
          <w:rFonts w:ascii="Arial" w:hAnsi="Arial" w:eastAsia="Arial" w:cs="Arial"/>
          <w:sz w:val="21"/>
        </w:rPr>
        <w:t>این سند مشخصات مهندسی اولیه است؛ الگوریتم بالینی، معیارهای پذیرش و اعتبارسنجی پزشکی باید جداگانه و متناسب با کاربرد نهایی تعریف شوند.</w:t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F4E79"/>
          <w:sz w:val="32"/>
        </w:rPr>
        <w:t>۲. معماری پیشنهادی</w:t>
      </w:r>
    </w:p>
    <w:p>
      <w:pPr>
        <w:jc w:val="left"/>
        <w:bidi w:val="0"/>
      </w:pPr>
      <w:r>
        <w:rPr>
          <w:rFonts w:ascii="Consolas" w:hAnsi="Consolas" w:eastAsia="Consolas" w:cs="Consolas"/>
          <w:sz w:val="18"/>
        </w:rPr>
        <w:t>DICOM Ingestion / API</w:t>
        <w:br/>
        <w:t xml:space="preserve">        |</w:t>
        <w:br/>
        <w:t xml:space="preserve">        v</w:t>
        <w:br/>
        <w:t>Validation + Study Registry</w:t>
        <w:br/>
        <w:t xml:space="preserve">        |</w:t>
        <w:br/>
        <w:t xml:space="preserve">        v</w:t>
        <w:br/>
        <w:t>Queue / Job Scheduler  &lt;----&gt;  PostgreSQL (jobs, audit, versions)</w:t>
        <w:br/>
        <w:t xml:space="preserve">        |</w:t>
        <w:br/>
        <w:t xml:space="preserve">        v</w:t>
        <w:br/>
        <w:t>Preprocessing (geometry-aware)</w:t>
        <w:br/>
        <w:t xml:space="preserve">        |</w:t>
        <w:br/>
        <w:t xml:space="preserve">        v</w:t>
        <w:br/>
        <w:t>Model Adapter(s) ---- GPU workers / batch execution</w:t>
        <w:br/>
        <w:t xml:space="preserve">        |</w:t>
        <w:br/>
        <w:t xml:space="preserve">        v</w:t>
        <w:br/>
        <w:t>Postprocessing + quality checks</w:t>
        <w:br/>
        <w:t xml:space="preserve">        |</w:t>
        <w:br/>
        <w:t xml:space="preserve">        +----&gt; DICOM SEG</w:t>
        <w:br/>
        <w:t xml:space="preserve">        +----&gt; DICOM SR</w:t>
        <w:br/>
        <w:t xml:space="preserve">        +----&gt; Overlay PNG/JPEG</w:t>
        <w:br/>
        <w:t xml:space="preserve">        |</w:t>
        <w:br/>
        <w:t xml:space="preserve">        v</w:t>
        <w:br/>
        <w:t>Object Storage (DICOM + artifacts) + audit trail</w:t>
      </w:r>
    </w:p>
    <w:p>
      <w:pPr>
        <w:jc w:val="right"/>
        <w:bidi w:val="1"/>
      </w:pPr>
      <w:r>
        <w:rPr>
          <w:rFonts w:ascii="Arial" w:hAnsi="Arial" w:eastAsia="Arial" w:cs="Arial"/>
          <w:sz w:val="21"/>
        </w:rPr>
        <w:t>اجزای منطقی پیشنهادی: API و سرویس دریافت، اعتبارسنجی DICOM، ثبت مطالعات و وظایف، صف کار، workerهای پردازش، پیش‌پردازش، آداپتور مدل، پس‌پردازش، سازندهٔ خروجی DICOM، ذخیره‌سازی اشیا و ثبت رخدادها.</w:t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F4E79"/>
          <w:sz w:val="32"/>
        </w:rPr>
        <w:t>۳. پشتهٔ فناوری پیشنهادی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Python برای منطق پردازش و سرویس‌های مدل.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FastAPI برای API و Pydantic برای اعتبارسنجی قراردادها.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pydicom برای خواندن/نوشتن DICOM؛ SimpleITK و NumPy/SciPy برای عملیات تصویری و هندسه.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PyTorch و در صورت تناسب MONAI برای مدل‌ها و عملیات تصویربرداری پزشکی.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RabbitMQ یا یک صف سازگار با معماری انتخابی برای صف‌بندی و کنترل تلاش مجدد.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PostgreSQL برای وضعیت job، نسخه‌ها، فراداده و ممیزی.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ذخیره‌سازی سازگار با S3 برای داده‌های ورودی و خروجی حجیم.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Docker و Kubernetes؛ NVIDIA device plugin برای تخصیص GPU.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pytest برای آزمون‌ها؛ Ruff و mypy برای کیفیت کد؛ Prometheus و OpenTelemetry برای پایش.</w:t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F4E79"/>
          <w:sz w:val="32"/>
        </w:rPr>
        <w:t>۴. ساختار مخزن کد</w:t>
      </w:r>
    </w:p>
    <w:p>
      <w:pPr>
        <w:jc w:val="left"/>
        <w:bidi w:val="0"/>
      </w:pPr>
      <w:r>
        <w:rPr>
          <w:rFonts w:ascii="Consolas" w:hAnsi="Consolas" w:eastAsia="Consolas" w:cs="Consolas"/>
          <w:sz w:val="18"/>
        </w:rPr>
        <w:t>project/</w:t>
        <w:br/>
        <w:t xml:space="preserve">  apps/</w:t>
        <w:br/>
        <w:t xml:space="preserve">    api/</w:t>
        <w:br/>
        <w:t xml:space="preserve">    worker/</w:t>
        <w:br/>
        <w:t xml:space="preserve">  src/</w:t>
        <w:br/>
        <w:t xml:space="preserve">    ingestion/</w:t>
        <w:br/>
        <w:t xml:space="preserve">    dicom/</w:t>
        <w:br/>
        <w:t xml:space="preserve">    preprocessing/</w:t>
        <w:br/>
        <w:t xml:space="preserve">    model_adapters/</w:t>
        <w:br/>
        <w:t xml:space="preserve">    postprocessing/</w:t>
        <w:br/>
        <w:t xml:space="preserve">    outputs/</w:t>
        <w:br/>
        <w:t xml:space="preserve">      dicom_seg/</w:t>
        <w:br/>
        <w:t xml:space="preserve">      dicom_sr/</w:t>
        <w:br/>
        <w:t xml:space="preserve">      overlay/</w:t>
        <w:br/>
        <w:t xml:space="preserve">    scheduling/</w:t>
        <w:br/>
        <w:t xml:space="preserve">    storage/</w:t>
        <w:br/>
        <w:t xml:space="preserve">    audit/</w:t>
        <w:br/>
        <w:t xml:space="preserve">    common/</w:t>
        <w:br/>
        <w:t xml:space="preserve">  tests/</w:t>
        <w:br/>
        <w:t xml:space="preserve">    unit/</w:t>
        <w:br/>
        <w:t xml:space="preserve">    integration/</w:t>
        <w:br/>
        <w:t xml:space="preserve">    dicom_conformance/</w:t>
        <w:br/>
        <w:t xml:space="preserve">    e2e/</w:t>
        <w:br/>
        <w:t xml:space="preserve">  deploy/</w:t>
        <w:br/>
        <w:t xml:space="preserve">    docker/</w:t>
        <w:br/>
        <w:t xml:space="preserve">    helm/</w:t>
        <w:br/>
        <w:t xml:space="preserve">    kubernetes/</w:t>
        <w:br/>
        <w:t xml:space="preserve">  configs/</w:t>
        <w:br/>
        <w:t xml:space="preserve">  docs/</w:t>
        <w:br/>
        <w:t xml:space="preserve">  pyproject.toml</w:t>
        <w:br/>
        <w:t xml:space="preserve">  README.md</w:t>
      </w:r>
    </w:p>
    <w:p>
      <w:pPr>
        <w:jc w:val="right"/>
        <w:bidi w:val="1"/>
      </w:pPr>
      <w:r>
        <w:rPr>
          <w:rFonts w:ascii="Arial" w:hAnsi="Arial" w:eastAsia="Arial" w:cs="Arial"/>
          <w:sz w:val="21"/>
        </w:rPr>
        <w:t>ساختار فوق پیشنهادی است و می‌تواند با رشد پروژه تغییر کند؛ مرزهای ماژول‌ها و قراردادهای بین آن‌ها باید پایدار بمانند.</w:t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F4E79"/>
          <w:sz w:val="32"/>
        </w:rPr>
        <w:t>۵. دریافت و اعتبارسنجی DICOM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پذیرش یک سری یا مطالعهٔ CT و شناسایی فایل‌های DICOM معتبر.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بررسی وجود و سازگاری شناسه‌های StudyInstanceUID، SeriesInstanceUID و SOPInstanceUID.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اعتبارسنجی مدالیته، تعداد برش‌ها، PixelData، جهت‌گیری و مختصات هندسی.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تشخیص سری‌های نامرتبط یا چندسری بودن ورودی؛ انتخاب سری باید صریح و قابل ردیابی باشد.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رد کردن ورودی خراب با خطای ساخت‌یافته و قابل مشاهده در گزارش job؛ از شکست خاموش خودداری شود.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ثبت checksum یا شناسهٔ محتوایی برای شناسایی تکرارها و کمک به idempotency.</w:t>
      </w:r>
    </w:p>
    <w:p>
      <w:pPr>
        <w:jc w:val="right"/>
        <w:bidi w:val="1"/>
      </w:pPr>
      <w:r>
        <w:rPr>
          <w:rFonts w:ascii="Arial" w:hAnsi="Arial" w:eastAsia="Arial" w:cs="Arial"/>
          <w:sz w:val="21"/>
        </w:rPr>
        <w:t>در محیط واقعی، سیاست ناشناس‌سازی یا کمینه‌سازی داده‌های هویتی باید پیش از انتقال به محیط‌های توسعه/آزمون تعریف شود. دادهٔ واقعی بیمار نباید بدون مجوز و کنترل دسترسی در لاگ‌ها درج شود.</w:t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F4E79"/>
          <w:sz w:val="32"/>
        </w:rPr>
        <w:t>۶. پیش‌پردازش و حفظ هندسه</w:t>
      </w:r>
    </w:p>
    <w:p>
      <w:pPr>
        <w:jc w:val="right"/>
        <w:bidi w:val="1"/>
      </w:pPr>
      <w:r>
        <w:rPr>
          <w:rFonts w:ascii="Arial" w:hAnsi="Arial" w:eastAsia="Arial" w:cs="Arial"/>
          <w:sz w:val="21"/>
        </w:rPr>
        <w:t>پیش‌پردازش باید تبدیل‌های اعمال‌شده را به‌صورت صریح ثبت کند. ترتیب برش‌ها نباید صرفاً با نام فایل تعیین شود؛ باید از مختصات DICOM و جهت‌گیری تصویر استفاده شود.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خواندن PixelData و اعمال RescaleSlope/RescaleIntercept در صورت نیاز برای تبدیل به مقیاس شدت مناسب.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مرتب‌سازی برش‌ها با استفاده از ImagePositionPatient و جهت‌گیری معتبر.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ثبت origin، spacing، direction/orientation و ابعاد تصویر قبل و بعد از هر تبدیل.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اگر resampling انجام می‌شود، spacing هدف و روش interpolation باید در پیکربندی نسخه‌دار ثبت شود.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تبدیل معکوس خروجی مدل به هندسهٔ مرجع باید آزمون شود؛ خطای جابه‌جایی یا چرخش باید مانع انتشار خروجی شود.</w:t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F4E79"/>
          <w:sz w:val="32"/>
        </w:rPr>
        <w:t>۷. قرارداد آداپتور مدل</w:t>
      </w:r>
    </w:p>
    <w:p>
      <w:pPr>
        <w:jc w:val="right"/>
        <w:bidi w:val="1"/>
      </w:pPr>
      <w:r>
        <w:rPr>
          <w:rFonts w:ascii="Arial" w:hAnsi="Arial" w:eastAsia="Arial" w:cs="Arial"/>
          <w:sz w:val="21"/>
        </w:rPr>
        <w:t>هر مدل از یک رابط مشترک پیروی کند تا مدل‌های segmentation، detection یا classification بدون تغییر در orchestration قابل جایگزینی باشند. نوع خروجی هر task باید در قرارداد مشخص باشد.</w:t>
      </w:r>
    </w:p>
    <w:p>
      <w:pPr>
        <w:jc w:val="left"/>
        <w:bidi w:val="0"/>
      </w:pPr>
      <w:r>
        <w:rPr>
          <w:rFonts w:ascii="Consolas" w:hAnsi="Consolas" w:eastAsia="Consolas" w:cs="Consolas"/>
          <w:sz w:val="18"/>
        </w:rPr>
        <w:t>class ModelAdapter:</w:t>
        <w:br/>
        <w:t xml:space="preserve">    def load(self, model_uri: str, device: str, config: dict) -&gt; None:</w:t>
        <w:br/>
        <w:t xml:space="preserve">        raise NotImplementedError</w:t>
        <w:br/>
        <w:br/>
        <w:t xml:space="preserve">    def predict(self, image, metadata: dict) -&gt; dict:</w:t>
        <w:br/>
        <w:t xml:space="preserve">        raise NotImplementedError</w:t>
        <w:br/>
        <w:br/>
        <w:t xml:space="preserve">    def healthcheck(self) -&gt; dict:</w:t>
        <w:br/>
        <w:t xml:space="preserve">        raise NotImplementedError</w:t>
        <w:br/>
        <w:br/>
        <w:t xml:space="preserve">    def model_info(self) -&gt; dict:</w:t>
        <w:br/>
        <w:t xml:space="preserve">        raise NotImplementedError</w:t>
      </w:r>
    </w:p>
    <w:p>
      <w:pPr>
        <w:jc w:val="right"/>
        <w:bidi w:val="1"/>
      </w:pPr>
      <w:r>
        <w:rPr>
          <w:rFonts w:ascii="Arial" w:hAnsi="Arial" w:eastAsia="Arial" w:cs="Arial"/>
          <w:sz w:val="21"/>
        </w:rPr>
        <w:t>ابتدا یک DummyAdapter برای توسعهٔ API، صف، ذخیره‌سازی و آزمون انتها‌به‌انتها پیاده‌سازی شود. سپس آداپتور مدل واقعی افزوده شود. وزن مدل، hash فایل‌ها، نسخهٔ کد، کتابخانه‌ها، تنظیمات و device باید قابل ثبت باشند.</w:t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F4E79"/>
          <w:sz w:val="32"/>
        </w:rPr>
        <w:t>۸. پس‌پردازش و کنترل کیفیت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تبدیل خروجی خام مدل به ساختار استاندارد داخلی با هندسهٔ مرجع مشخص.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اعمال آستانه‌ها، حذف مؤلفه‌های کوچک یا عملیات مورفولوژیک فقط در صورت تعریف در مشخصات مدل و ثبت در manifest.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بررسی سازگاری ابعاد و هندسه، محدودهٔ مقادیر، وجود خروجی خالی و خطاهای عددی.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تولید خلاصهٔ اندازه‌گیری‌ها با واحدهای مشخص و منبع محاسبهٔ روشن.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ثبت هشدارهای QC و تعیین اینکه کدام خطاها خروجی را مسدود می‌کنند.</w:t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F4E79"/>
          <w:sz w:val="32"/>
        </w:rPr>
        <w:t>۹. تولید DICOM SEG، DICOM SR و Overlay</w:t>
      </w:r>
    </w:p>
    <w:p>
      <w:pPr>
        <w:jc w:val="right"/>
        <w:bidi w:val="1"/>
      </w:pPr>
      <w:r>
        <w:rPr>
          <w:rFonts w:ascii="Arial" w:hAnsi="Arial" w:eastAsia="Arial" w:cs="Arial"/>
          <w:sz w:val="21"/>
        </w:rPr>
        <w:t>DICOM SEG باید به تصاویر مرجع مرتبط باشد و ارجاع‌های صحیح به سری/نمونه‌های منبع را نگه دارد. شناسه‌ها، هندسه، segment labels، الگوریتم تولیدکننده و metadata الزامی باید با استانداردهای DICOM و ابزارهای سازگاری بررسی شوند.</w:t>
      </w:r>
    </w:p>
    <w:p>
      <w:pPr>
        <w:jc w:val="right"/>
        <w:bidi w:val="1"/>
      </w:pPr>
      <w:r>
        <w:rPr>
          <w:rFonts w:ascii="Arial" w:hAnsi="Arial" w:eastAsia="Arial" w:cs="Arial"/>
          <w:sz w:val="21"/>
        </w:rPr>
        <w:t>DICOM SR باید از قالب و ساختار مناسب برای نوع نتیجه استفاده کند. اندازه‌گیری‌ها، واحدها، کدها، منبع نتیجه و ارجاع به تصاویر/SEG باید روشن باشند؛ از نوشتن گزارش آزاد بدون ساختار استاندارد به‌عنوان جایگزین SR معتبر خودداری شود.</w:t>
      </w:r>
    </w:p>
    <w:p>
      <w:pPr>
        <w:jc w:val="right"/>
        <w:bidi w:val="1"/>
      </w:pPr>
      <w:r>
        <w:rPr>
          <w:rFonts w:ascii="Arial" w:hAnsi="Arial" w:eastAsia="Arial" w:cs="Arial"/>
          <w:sz w:val="21"/>
        </w:rPr>
        <w:t>Overlay برای بازبینی انسانی است و باید با هندسهٔ تصویر اصلی هم‌تراز باشد. فایل overlay به‌تنهایی جایگزین DICOM SEG نیست. رنگ، شفافیت، پنجره‌بندی و نحوهٔ نمایش باید قابل تنظیم باشند.</w:t>
      </w:r>
    </w:p>
    <w:p>
      <w:pPr>
        <w:jc w:val="right"/>
        <w:bidi w:val="1"/>
      </w:pPr>
      <w:r>
        <w:rPr>
          <w:rFonts w:ascii="Arial" w:hAnsi="Arial" w:eastAsia="Arial" w:cs="Arial"/>
          <w:sz w:val="21"/>
        </w:rPr>
        <w:t>پیش از استفادهٔ عملیاتی، خروجی‌ها را با ابزارهای مستقل DICOM و viewerهای هدف اعتبارسنجی کنید. سازگاری نحوی فایل به‌تنهایی اثبات‌کنندهٔ صحت بالینی نیست.</w:t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F4E79"/>
          <w:sz w:val="32"/>
        </w:rPr>
        <w:t>۱۰. API و چرخهٔ عمر Job</w:t>
      </w:r>
    </w:p>
    <w:p>
      <w:pPr>
        <w:jc w:val="left"/>
        <w:bidi w:val="0"/>
      </w:pPr>
      <w:r>
        <w:rPr>
          <w:rFonts w:ascii="Consolas" w:hAnsi="Consolas" w:eastAsia="Consolas" w:cs="Consolas"/>
          <w:sz w:val="18"/>
        </w:rPr>
        <w:t>POST /v1/studies</w:t>
        <w:br/>
        <w:t xml:space="preserve">  دریافت/ثبت مطالعه و فرادادهٔ لازم</w:t>
        <w:br/>
        <w:br/>
        <w:t>POST /v1/jobs</w:t>
        <w:br/>
        <w:t xml:space="preserve">  ایجاد job با study_id، model_version و config</w:t>
        <w:br/>
        <w:br/>
        <w:t>GET /v1/jobs/{job_id}</w:t>
        <w:br/>
        <w:t xml:space="preserve">  وضعیت، پیشرفت، خطا و زمان‌ها</w:t>
        <w:br/>
        <w:br/>
        <w:t>GET /v1/jobs/{job_id}/artifacts</w:t>
        <w:br/>
        <w:t xml:space="preserve">  فهرست خروجی‌ها و شناسه/لینک امن آن‌ها</w:t>
        <w:br/>
        <w:br/>
        <w:t>POST /v1/jobs/{job_id}/cancel</w:t>
        <w:br/>
        <w:t xml:space="preserve">  درخواست لغو در صورت پشتیبانی</w:t>
      </w:r>
    </w:p>
    <w:p>
      <w:pPr>
        <w:jc w:val="right"/>
        <w:bidi w:val="1"/>
      </w:pPr>
      <w:r>
        <w:rPr>
          <w:rFonts w:ascii="Arial" w:hAnsi="Arial" w:eastAsia="Arial" w:cs="Arial"/>
          <w:sz w:val="21"/>
        </w:rPr>
        <w:t>وضعیت‌های پیشنهادی: queued، validating، preprocessing، running، postprocessing، exporting، succeeded، failed، cancelled. تغییر وضعیت باید ثبت شود و retry نباید خروجی‌های تکراری یا ناسازگار ایجاد کند.</w:t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F4E79"/>
          <w:sz w:val="32"/>
        </w:rPr>
        <w:t>۱۱. داده‌ها، ذخیره‌سازی و ممیزی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PostgreSQL: شناسهٔ job، شناسه‌های مطالعه/سری، وضعیت، زمان شروع/پایان، نسخهٔ مدل، نسخهٔ pipeline، تنظیمات و خطاها.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Object storage: ورودی DICOM، خروجی DICOM SEG/SR، overlay، manifest و گزارش‌های فنی.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ثبت audit event برای ایجاد job، تغییر وضعیت، مشاهده/دریافت artifact و عملیات مدیریتی.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پیوندهای دانلود باید احراز هویت‌شده و زمان‌دار باشند؛ از قرار دادن اطلاعات حساس در URL یا لاگ خودداری شود.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سیاست نگهداری، حذف، پشتیبان‌گیری و بازیابی باید با الزامات سازمانی و قانونی هماهنگ شود.</w:t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F4E79"/>
          <w:sz w:val="32"/>
        </w:rPr>
        <w:t>۱۲. صف، Batch و اجرای چند GPU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پردازش ورودی‌های متعدد از طریق queue و workerهای مستقل انجام شود.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برای هر job محدودیت حافظه، timeout، تعداد retry و اولویت تعریف شود.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در خطای GPU OOM، ابتدا batch size کاهش یابد یا job به صف بازگردد؛ retry نامحدود ممنوع است.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تخصیص GPU باید از طریق منابع Kubernetes و سازوکارهای قابل مشاهده انجام شود؛ از رقابت کنترل‌نشدهٔ workerها برای یک GPU اجتناب شود.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برای هر اجرا GPU/device، نسخهٔ driver، CUDA و کتابخانه‌های اصلی ثبت شود.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idempotency key و شناسهٔ یکتای job برای جلوگیری از اجرای تکراری درخواست‌ها استفاده شود.</w:t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F4E79"/>
          <w:sz w:val="32"/>
        </w:rPr>
        <w:t>۱۳. نسخه‌بندی و بازتولیدپذیری</w:t>
      </w:r>
    </w:p>
    <w:p>
      <w:pPr>
        <w:jc w:val="right"/>
        <w:bidi w:val="1"/>
      </w:pPr>
      <w:r>
        <w:rPr>
          <w:rFonts w:ascii="Arial" w:hAnsi="Arial" w:eastAsia="Arial" w:cs="Arial"/>
          <w:sz w:val="21"/>
        </w:rPr>
        <w:t>برای هر اجرا یک manifest ذخیره شود که حداقل شامل این موارد باشد: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شناسه یا checksum ورودی و مشخصات سری مرجع.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نسخهٔ pipeline و commit کد.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شناسه و checksum وزن مدل و نسخهٔ آداپتور.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پیکربندی پیش‌پردازش/پس‌پردازش و پارامترهای inference.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نسخهٔ image کانتینر، وابستگی‌ها و اطلاعات runtime مرتبط.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seedهای تصادفی در صورت کاربرد و مشخصات سخت‌افزار/دستگاه.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فهرست artifactهای خروجی و checksum آن‌ها.</w:t>
      </w:r>
    </w:p>
    <w:p>
      <w:pPr>
        <w:jc w:val="right"/>
        <w:bidi w:val="1"/>
      </w:pPr>
      <w:r>
        <w:rPr>
          <w:rFonts w:ascii="Arial" w:hAnsi="Arial" w:eastAsia="Arial" w:cs="Arial"/>
          <w:sz w:val="21"/>
        </w:rPr>
        <w:t>تکرارپذیری بیت‌به‌بیت ممکن است روی سخت‌افزارها یا کتابخانه‌های مختلف تضمین‌پذیر نباشد؛ سطح تضمین باید مستند و آزمون شود.</w:t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F4E79"/>
          <w:sz w:val="32"/>
        </w:rPr>
        <w:t>۱۴. استقرار Kubernetes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ساخت imageهای جداگانه برای API و worker، با نسخه‌های immutable.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استفاده از Helm chart یا manifests نسخه‌دار برای Deployment، Service، ConfigMap و Secret.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استفاده از NVIDIA device plugin و درخواست منابع GPU برای workerهای مدل.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تعریف readiness/liveness probes، resource requests/limits، autoscaling متناسب با صف و محدودیت GPU.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مدیریت تنظیمات غیرمحرمانه با ConfigMap و اسرار با Secret manager مناسب؛ secretها نباید در Git قرار گیرند.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پیکربندی network policy، TLS، RBAC و دسترسی حداقلی به ذخیره‌سازی.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پایش طول صف، زمان انتظار، زمان inference، نرخ خطا، استفاده از GPU و حجم فضای ذخیره‌سازی.</w:t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F4E79"/>
          <w:sz w:val="32"/>
        </w:rPr>
        <w:t>۱۵. امنیت و حریم خصوصی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احراز هویت و مجوزدهی برای تمام endpointهای حساس.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رمزنگاری انتقال و ذخیره‌سازی مطابق سیاست سازمان.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عدم ثبت نام بیمار، شماره پرونده یا سایر داده‌های هویتی در logهای عمومی.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تفکیک محیط توسعه، آزمون و تولید؛ استفاده از دادهٔ مصنوعی یا ناشناس‌سازی‌شده در آزمون.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ثبت دسترسی‌ها و تدوین سیاست retention و incident response.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بازبینی الزامات قانونی و امنیتی محل استقرار پیش از ورود دادهٔ واقعی.</w:t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F4E79"/>
          <w:sz w:val="32"/>
        </w:rPr>
        <w:t>۱۶. راهبرد آزمون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Unit tests برای توابع پیش‌پردازش، هندسه، پس‌پردازش و اعتبارسنجی.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Integration tests برای DICOM ingest، پایگاه داده، صف و object storage.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DICOM conformance tests برای SEG و SR با ابزارهای مستقل.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Golden tests روی داده‌های مصنوعی/تأییدشده برای بررسی هم‌ترازی و ثبات خروجی.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End-to-end tests از ثبت مطالعه تا artifactهای نهایی، با DummyAdapter.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GPU tests برای بارگذاری مدل، batch، مدیریت OOM و خاموش‌شدن worker.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آزمون‌های امنیتی برای دسترسی غیرمجاز، فایل خراب، ورودی بیش‌ازحد بزرگ و نشت اطلاعات در log.</w:t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F4E79"/>
          <w:sz w:val="32"/>
        </w:rPr>
        <w:t>۱۷. معیارهای پذیرش اولیه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مطالعهٔ CT معتبر پذیرفته شود و ورودی نامعتبر با خطای قابل فهم رد شود.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هندسه و ارجاع‌های تصاویر مرجع در تمام مراحل حفظ و آزمون شوند.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DummyAdapter بتواند pipeline کامل را بدون مدل واقعی اجرا کند.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برای job موفق، DICOM SEG، DICOM SR و overlay مورد انتظار تولید و در دسترس قرار گیرند.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وضعیت، خطا، نسخه‌ها و manifest هر job قابل بازیابی باشند.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retry و ارسال مجدد درخواست باعث artifactهای تکراری یا وضعیت ناسازگار نشوند.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workerها بتوانند روی چند GPU اجرا شوند و خطاهای کمبود حافظه مدیریت شوند.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استقرار آزمایشی Kubernetes با پایش، لاگ و health checks انجام شود.</w:t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F4E79"/>
          <w:sz w:val="32"/>
        </w:rPr>
        <w:t>۱۸. برنامهٔ پیاده‌سازی مرحله‌ای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مرحلهٔ ۱ — اسکلت مخزن، تنظیمات، مدل داده، API پایه و تست‌های خودکار.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مرحلهٔ ۲ — دریافت DICOM، اعتبارسنجی و ثبت مطالعه.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مرحلهٔ ۳ — صف، worker و چرخهٔ عمر job با DummyAdapter.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مرحلهٔ ۴ — پیش‌پردازش با حفظ هندسه و آزمون‌های هندسی.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مرحلهٔ ۵ — آداپتور مدل واقعی و پس‌پردازش.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مرحلهٔ ۶ — تولید و اعتبارسنجی DICOM SEG، DICOM SR و overlay.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مرحلهٔ ۷ — Batch، چند GPU، retry، idempotency و ثبت manifest.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مرحلهٔ ۸ — Docker/Helm/Kubernetes، امنیت، پایش و آزمون بار.</w:t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F4E79"/>
          <w:sz w:val="32"/>
        </w:rPr>
        <w:t>۱۹. دستورهای پیشنهادی برای Claude Code</w:t>
      </w:r>
    </w:p>
    <w:p>
      <w:pPr>
        <w:jc w:val="right"/>
        <w:bidi w:val="1"/>
      </w:pPr>
      <w:r>
        <w:rPr>
          <w:rFonts w:ascii="Arial" w:hAnsi="Arial" w:eastAsia="Arial" w:cs="Arial"/>
          <w:sz w:val="21"/>
        </w:rPr>
        <w:t>هر مرحله را جداگانه درخواست کنید، خروجی را بازبینی کنید و قبل از رفتن به مرحلهٔ بعد آزمون‌ها را اجرا کنید. از Claude Code بخواهید فرضیات و تصمیم‌های معماری را در docs/ ثبت کند.</w:t>
      </w:r>
    </w:p>
    <w:p>
      <w:pPr>
        <w:jc w:val="left"/>
        <w:bidi w:val="0"/>
      </w:pPr>
      <w:r>
        <w:rPr>
          <w:rFonts w:ascii="Consolas" w:hAnsi="Consolas" w:eastAsia="Consolas" w:cs="Consolas"/>
          <w:sz w:val="18"/>
        </w:rPr>
        <w:t>Prompt 1:</w:t>
        <w:br/>
        <w:t>Read PROJECT_SPEC_FA.docx (or the exported Markdown spec).</w:t>
        <w:br/>
        <w:t>Create the repository skeleton, pyproject.toml, configuration model,</w:t>
        <w:br/>
        <w:t>logging, health endpoint, and pytest setup. Do not implement clinical</w:t>
        <w:br/>
        <w:t>logic yet. Add tests and explain how to run them.</w:t>
        <w:br/>
        <w:br/>
        <w:t>Prompt 2:</w:t>
        <w:br/>
        <w:t>Implement DICOM ingestion and validation with pydicom/SimpleITK.</w:t>
        <w:br/>
        <w:t>Preserve geometry metadata, reject invalid studies with structured errors,</w:t>
        <w:br/>
        <w:t>and add synthetic fixtures and tests.</w:t>
        <w:br/>
        <w:br/>
        <w:t>Prompt 3:</w:t>
        <w:br/>
        <w:t>Implement the job state machine, database models, queue interface,</w:t>
        <w:br/>
        <w:t>worker, retry policy, and idempotency. Use a DummyAdapter first.</w:t>
        <w:br/>
        <w:br/>
        <w:t>Prompt 4:</w:t>
        <w:br/>
        <w:t>Implement a ModelAdapter interface and a configurable preprocessing /</w:t>
        <w:br/>
        <w:t>postprocessing pipeline. Record all transforms and run metadata.</w:t>
        <w:br/>
        <w:br/>
        <w:t>Prompt 5:</w:t>
        <w:br/>
        <w:t>Implement DICOM SEG, DICOM SR, and overlay exporters. Add conformance</w:t>
        <w:br/>
        <w:t>tests and document limitations. Do not claim clinical validity.</w:t>
        <w:br/>
        <w:br/>
        <w:t>Prompt 6:</w:t>
        <w:br/>
        <w:t>Add batch and multi-GPU execution, OOM handling, metrics, and audit events.</w:t>
        <w:br/>
        <w:br/>
        <w:t>Prompt 7:</w:t>
        <w:br/>
        <w:t>Add Docker images and Helm/Kubernetes deployment, including GPU resource</w:t>
        <w:br/>
        <w:t>requests, probes, secrets handling, network policies, and monitoring.</w:t>
      </w:r>
    </w:p>
    <w:p>
      <w:pPr>
        <w:jc w:val="right"/>
        <w:bidi w:val="1"/>
      </w:pPr>
      <w:r>
        <w:rPr>
          <w:rFonts w:ascii="Arial" w:hAnsi="Arial" w:eastAsia="Arial" w:cs="Arial"/>
          <w:sz w:val="21"/>
        </w:rPr>
        <w:t>اگر Claude Code به فایل Word دسترسی مستقیم ندارد، این سند را به Markdown تبدیل کنید یا متن بخش‌های مربوط را در فایل PROJECT_SPEC_FA.md ذخیره کنید.</w:t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F4E79"/>
          <w:sz w:val="32"/>
        </w:rPr>
        <w:t>۲۰. منابع فنی برای شروع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DICOM Standard: https://www.dicomstandard.org/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pydicom: https://pydicom.github.io/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SimpleITK: https://simpleitk.org/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MONAI: https://monai.io/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FastAPI: https://fastapi.tiangolo.com/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Kubernetes: https://kubernetes.io/docs/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1"/>
        </w:rPr>
        <w:t>NVIDIA Kubernetes device plugin: https://github.com/NVIDIA/k8s-device-plugin</w:t>
      </w:r>
    </w:p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F4E79"/>
          <w:sz w:val="32"/>
        </w:rPr>
        <w:t>یادداشت مهم دربارهٔ استفادهٔ بالینی</w:t>
      </w:r>
    </w:p>
    <w:p>
      <w:pPr>
        <w:jc w:val="right"/>
        <w:bidi w:val="1"/>
      </w:pPr>
      <w:r>
        <w:rPr>
          <w:rFonts w:ascii="Arial" w:hAnsi="Arial" w:eastAsia="Arial" w:cs="Arial"/>
          <w:sz w:val="21"/>
        </w:rPr>
        <w:t>این سند به‌تنهایی سامانه را برای تشخیص یا تصمیم‌گیری درمانی معتبر نمی‌کند. پیش از استفادهٔ بالینی، اعتبارسنجی فنی و بالینی، ارزیابی عملکرد روی جمعیت هدف، بررسی سوگیری و خطا، کنترل نسخه، امنیت، قابلیت ردیابی و تأییدهای قانونی لازم باید توسط تیم‌های مسئول انجام شوند.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