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Gerente General</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Gerente General</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administrativa con escritorio, equipos computacionales y sala de reuniones.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periódicas a obras en ejecución.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Desplazamientos en vehículo a obras, clientes e instituciones.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Iluminación y ventilación natural y artificial.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Temperatura de confort en oficina; en terreno, condiciones climáticas variables (sol, lluvia, frío).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ordenados y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y documentos en estantes firmes, sin sobrecargar niveles altos.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 / notebook</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Teléfono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 y fotocopiadora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Choque, colisión o volcamiento conduciendo vehículo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Contar con licencia de conducir vigente y clase correspondiente.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límites de velocidad y Ley de Tránsito; uso permanente de cinturón.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conducir bajo efectos de alcohol, drogas, medicamentos que causen somnolencia ni con fatiga.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check list del vehículo antes de su uso.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celular durante la conducción.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agenda y visitas a obra coordinando con el Profesional Residente.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el estado de la gestión preventiva (indicadores, programa de trabajo preventivo, matriz IPER).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Asignar recursos para la implementación de medidas preventivas.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estado de silla, escritorio, enchufes y cables.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vías de evacuación y extintores de la oficina.</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visitas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administrativa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posturas adecuadas y realizar pausas activas.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Evitar sobrecargar tomas de corriente.</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con EPP completo y acompañado por el responsable de la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Respetar segregaciones y no ingresar a zonas de exclusión.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Desplazamientos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Conducir respetando la Ley de Tránsito, con cinturón y sin celular.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rutas y tiempos para evitar conducción con apuro o fatiga.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Liderazgo en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Participar en reuniones del Comité Paritario y revisiones de la dirección.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el cumplimiento del Reglamento Interno y del Sistema de Gestión SST.</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y pasillos libres de cajas y documentos.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Gerente General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