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B7" w:rsidRDefault="00235FB7" w:rsidP="0001336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2"/>
          <w:szCs w:val="36"/>
        </w:rPr>
      </w:pPr>
      <w:r w:rsidRPr="00235FB7">
        <w:rPr>
          <w:rFonts w:ascii="Times New Roman" w:eastAsia="Times New Roman" w:hAnsi="Times New Roman" w:cs="Times New Roman"/>
          <w:b/>
          <w:bCs/>
          <w:sz w:val="42"/>
          <w:szCs w:val="36"/>
        </w:rPr>
        <w:fldChar w:fldCharType="begin"/>
      </w:r>
      <w:r w:rsidRPr="00235FB7">
        <w:rPr>
          <w:rFonts w:ascii="Times New Roman" w:eastAsia="Times New Roman" w:hAnsi="Times New Roman" w:cs="Times New Roman"/>
          <w:b/>
          <w:bCs/>
          <w:sz w:val="42"/>
          <w:szCs w:val="36"/>
        </w:rPr>
        <w:instrText xml:space="preserve"> HYPERLINK "http://omedicine.info/id/dapsone.html" \o "Permanent Link: Dapson" </w:instrText>
      </w:r>
      <w:r w:rsidRPr="00235FB7">
        <w:rPr>
          <w:rFonts w:ascii="Times New Roman" w:eastAsia="Times New Roman" w:hAnsi="Times New Roman" w:cs="Times New Roman"/>
          <w:b/>
          <w:bCs/>
          <w:sz w:val="42"/>
          <w:szCs w:val="36"/>
        </w:rPr>
        <w:fldChar w:fldCharType="separate"/>
      </w:r>
      <w:r w:rsidRPr="00235FB7">
        <w:rPr>
          <w:rFonts w:ascii="Times New Roman" w:eastAsia="Times New Roman" w:hAnsi="Times New Roman" w:cs="Times New Roman"/>
          <w:b/>
          <w:bCs/>
          <w:sz w:val="42"/>
          <w:szCs w:val="36"/>
        </w:rPr>
        <w:t>MAKALAH</w:t>
      </w:r>
      <w:r w:rsidRPr="00235FB7">
        <w:rPr>
          <w:rFonts w:ascii="Times New Roman" w:eastAsia="Times New Roman" w:hAnsi="Times New Roman" w:cs="Times New Roman"/>
          <w:b/>
          <w:bCs/>
          <w:sz w:val="42"/>
          <w:szCs w:val="36"/>
        </w:rPr>
        <w:fldChar w:fldCharType="end"/>
      </w:r>
      <w:r w:rsidRPr="00235FB7">
        <w:rPr>
          <w:rFonts w:ascii="Times New Roman" w:eastAsia="Times New Roman" w:hAnsi="Times New Roman" w:cs="Times New Roman"/>
          <w:b/>
          <w:bCs/>
          <w:sz w:val="42"/>
          <w:szCs w:val="36"/>
        </w:rPr>
        <w:t xml:space="preserve"> DAPSON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ATC</w:t>
      </w:r>
      <w:r w:rsidR="000133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0133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35FB7">
        <w:rPr>
          <w:rFonts w:ascii="Times New Roman" w:eastAsia="Times New Roman" w:hAnsi="Times New Roman" w:cs="Times New Roman"/>
          <w:sz w:val="24"/>
          <w:szCs w:val="24"/>
        </w:rPr>
        <w:t>J04BA02</w:t>
      </w:r>
    </w:p>
    <w:p w:rsidR="0001336A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</w:t>
      </w:r>
      <w:bookmarkStart w:id="0" w:name="_GoBack"/>
      <w:bookmarkEnd w:id="0"/>
      <w:r w:rsidRPr="00235FB7"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​​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kristal</w:t>
      </w:r>
      <w:proofErr w:type="spellEnd"/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larut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air,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larut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etanol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Massa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molekul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248</w:t>
      </w:r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,3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36A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Obat-obatan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Aksi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Sun</w:t>
      </w:r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protivoleproznoe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Kusta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Hansen), dermatitis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herpetiformis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Duhring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tuberkulosis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Kontraindikasi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Hipersensitivitas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sulfamilamidam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anemia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defisiensi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dehidrogenase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glukosa-6-fosfat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metgemoglobinreduktazy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anemia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hemolitik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kehamilan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menyusui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terapi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kusta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dermatitis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herpetiformis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hamil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dikontrol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Kategori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pada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janin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oleh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FDA —</w:t>
      </w:r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(C). </w:t>
      </w:r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reproduksi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merugikan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janin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dikontrol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hamil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obat-obatan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kehamilan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membenarkan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penggunaannya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.)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berhenti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menyusui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serum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27% yang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dapson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anemia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hemolitik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bayi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defisiensi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dehidrogenase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glukosa-6-fosfat).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samping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Dari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peredaran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darah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darah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darah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terlepasnya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):</w:t>
      </w:r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hemolisis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menurunnya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hemoglobin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retikulosit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), anemia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hemolitik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punggung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kaki,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perut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hilangnya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kepucatan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kelelahan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kelemahan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methemoglobinemia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(kuku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sianosis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bibir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sesak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napas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diskrasia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demam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pharyngalgia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perdarahan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lastRenderedPageBreak/>
        <w:t>perdarahan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agranulositosis</w:t>
      </w:r>
      <w:proofErr w:type="spellEnd"/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anemia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aplastik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yang fatal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detak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kardialgiya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kulit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exfoliative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Dermatitis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gatal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kekeringan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kemerahan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sisik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rambut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rontok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eritema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beracun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mnogoformnaya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eritema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Nekrolisis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Epidermal,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eritema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nodosum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scarlatiniform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Dari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saraf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organ-organ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sensorik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mental,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mood, neuritis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perifer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rasa,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sensasi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kesemutan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pembakaran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kelemahan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kaki),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neurotoksisitas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insomnia,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gugup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Reaksi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alergi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ruam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Sindrom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Sulfone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"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malaise,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exfoliative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Dermatitis,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limfadenopatiя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methemoglobinemia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anemia),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6-8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terapi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bagian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usus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(scleral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Anoreksia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mual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muntah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Interaksi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aminofenazonom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barbituratami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Rifampicin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dapson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7 - 10 kali,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stimulasi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enzim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mikrosomaionah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mendaftar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kusta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dapson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t.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konsentrasinya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MIC).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DdI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penyerapan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ditugaskan</w:t>
      </w:r>
      <w:proofErr w:type="spellEnd"/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penyangga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menetralkan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keasaman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lambung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Obat-obatan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hemolisis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asam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folat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antagonis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t.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pyrimethamine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samping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beracun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Trimethoprim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Obat-obatan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patologis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mielotoksičeskoe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Aminobenzoatы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(PABA)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bakteriostatik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Mycobacterium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leprae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Overdosis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Gejala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mual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muntah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hypererethism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depresi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kram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methemoglobinemia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sianosis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lambung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lavage,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penunjukan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arang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(30 g)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pencahar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6 jam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setidaknya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48-72 jam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arang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235FB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1/2</w:t>
      </w:r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dapsona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monoacetildapsona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teladan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50%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12,7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darurat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metilen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(0,05%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0,9%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natrium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klorida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0,1 mg / kg / jam)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1,2 mg / kg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defisiensi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parah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dehidrogenase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glukosa-6-fosfat); re-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introduksi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metilen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methemoglobin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reakkumulyatsii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methylene blue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ditunjuk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interior,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5,3 mg / kg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4-6 jam.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administrasi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Di </w:t>
      </w:r>
      <w:proofErr w:type="spellStart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kusta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pereduksi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ketahanan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sekunder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protivoleproznymi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dapson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4-5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lastRenderedPageBreak/>
        <w:t>minggu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istirahat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- on 50 mg 2 kali per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- on 100 mg 2 kali per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istirahat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2 Ned,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skema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- 4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istirahat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1-1</w:t>
      </w:r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,5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6 bulan-3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undifferentiated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tuberkuloidnoj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kusta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2-10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perbatasan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dimorfnoj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kusta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hidupnya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lepromatoznoj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kusta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,4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mg/kg 1 kali per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dermatitis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herpetiformis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Duhring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- 50-100 mg 2 kali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5-6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istirahat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- 3-5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- up 300 mg.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hilangnya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- 50 mg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1-2 kali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seminggu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2 mg/kg/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secepat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dikurangi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Tindakan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pencegahan</w:t>
      </w:r>
      <w:proofErr w:type="spellEnd"/>
      <w:r w:rsidRPr="00235FB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konstan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ALT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AST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berhenti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tanda-tanda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progresif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urea nitrogen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kreatinin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periodik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penarikan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anuria);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trombosit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retikulosit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1-3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leukosit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trombosit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gematokrita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povыshenii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retikulotsitov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Batal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bolynыm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tshtatelynoe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dehidrogenase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glukosa-6-fosfat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mengobati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berisiko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methemoglobin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sianosis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pusing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kelelahan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sesak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napas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terinfeksi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HIV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2-3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terapi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sebaiknya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2-3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defisiensi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dehidrogenase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glukosa-6-fosfat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gain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hemolitik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meningkatnya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methemoglobin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20%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terbalik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30%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Pertimbangkan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metilen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Penderita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kusta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mematuhi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regimen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melewatkan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sesegera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menggandakan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dan.</w:t>
      </w:r>
      <w:proofErr w:type="spellEnd"/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Diet,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gluten,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dermatitis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herpetiformis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50%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membatalkan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35FB7" w:rsidRPr="00235FB7" w:rsidRDefault="00235FB7" w:rsidP="000133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lastRenderedPageBreak/>
        <w:t>Ketika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dapson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kusta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monoterapi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resistensi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bakteri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rifampisin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etionamid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1) neuritis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kusta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meresepkan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kortikosteroid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beracun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terbalik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Negara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reaktif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kusta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penghentian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terapi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2-3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kusta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(dermatitis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herpetiformis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berkonsultasi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F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aminobenzoates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dermatitis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herpetiformis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B7">
        <w:rPr>
          <w:rFonts w:ascii="Times New Roman" w:eastAsia="Times New Roman" w:hAnsi="Times New Roman" w:cs="Times New Roman"/>
          <w:sz w:val="24"/>
          <w:szCs w:val="24"/>
        </w:rPr>
        <w:t>dapson</w:t>
      </w:r>
      <w:proofErr w:type="spellEnd"/>
      <w:r w:rsidRPr="00235F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14151" w:rsidRDefault="0001336A" w:rsidP="0001336A">
      <w:pPr>
        <w:jc w:val="both"/>
      </w:pPr>
    </w:p>
    <w:sectPr w:rsidR="00714151" w:rsidSect="00F80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FB7"/>
    <w:rsid w:val="0001336A"/>
    <w:rsid w:val="00041137"/>
    <w:rsid w:val="001B21F0"/>
    <w:rsid w:val="00235FB7"/>
    <w:rsid w:val="008F309D"/>
    <w:rsid w:val="00D203B5"/>
    <w:rsid w:val="00F8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5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5F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35F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5FB7"/>
    <w:rPr>
      <w:b/>
      <w:bCs/>
    </w:rPr>
  </w:style>
  <w:style w:type="character" w:styleId="Emphasis">
    <w:name w:val="Emphasis"/>
    <w:basedOn w:val="DefaultParagraphFont"/>
    <w:uiPriority w:val="20"/>
    <w:qFormat/>
    <w:rsid w:val="00235FB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5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5F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35F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5FB7"/>
    <w:rPr>
      <w:b/>
      <w:bCs/>
    </w:rPr>
  </w:style>
  <w:style w:type="character" w:styleId="Emphasis">
    <w:name w:val="Emphasis"/>
    <w:basedOn w:val="DefaultParagraphFont"/>
    <w:uiPriority w:val="20"/>
    <w:qFormat/>
    <w:rsid w:val="00235F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9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1195</Words>
  <Characters>6818</Characters>
  <Application>Microsoft Office Word</Application>
  <DocSecurity>0</DocSecurity>
  <Lines>56</Lines>
  <Paragraphs>15</Paragraphs>
  <ScaleCrop>false</ScaleCrop>
  <Company>Toshiba</Company>
  <LinksUpToDate>false</LinksUpToDate>
  <CharactersWithSpaces>7998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DEFOURTEENZ</dc:creator>
  <cp:lastModifiedBy>DEFOURTEENZ</cp:lastModifiedBy>
  <cp:revision>2</cp:revision>
  <dcterms:created xsi:type="dcterms:W3CDTF">2014-09-14T21:28:00Z</dcterms:created>
  <dcterms:modified xsi:type="dcterms:W3CDTF">2014-09-14T21:31:00Z</dcterms:modified>
</cp:coreProperties>
</file>