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ext"/>
        <w:spacing w:after="160"/>
        <w:jc w:val="center"/>
      </w:pPr>
      <w:r>
        <w:rPr>
          <w:rFonts w:ascii="Times New Roman" w:hAnsi="Times New Roman"/>
          <w:b/>
          <w:sz w:val="40"/>
        </w:rPr>
        <w:t>Explainable Deep Learning for Multi-Class Chest X-ray Classification: Measuring What Grad-CAM and SHAP Actually Establish</w:t>
      </w:r>
    </w:p>
    <w:p>
      <w:pPr>
        <w:pStyle w:val="Text"/>
        <w:jc w:val="center"/>
      </w:pPr>
      <w:r>
        <w:rPr>
          <w:rFonts w:ascii="Times New Roman" w:hAnsi="Times New Roman"/>
          <w:b/>
          <w:sz w:val="22"/>
        </w:rPr>
        <w:t>Ardhendu Debnath</w:t>
      </w:r>
    </w:p>
    <w:p>
      <w:pPr>
        <w:jc w:val="center"/>
      </w:pPr>
      <w:r>
        <w:rPr>
          <w:rFonts w:ascii="Times New Roman" w:hAnsi="Times New Roman"/>
          <w:b w:val="0"/>
          <w:sz w:val="18"/>
        </w:rPr>
        <w:t>Department of Computer Science Engineering (AI &amp; ML), Jain University, Bengaluru, India</w:t>
      </w:r>
    </w:p>
    <w:p>
      <w:pPr>
        <w:sectPr>
          <w:type w:val="continuous"/>
          <w:pgSz w:w="11907" w:h="16839" w:code="9"/>
          <w:pgMar w:top="1008" w:right="806" w:bottom="1008" w:left="965" w:header="144" w:footer="432" w:gutter="0"/>
          <w:cols w:num="1" w:space="288"/>
          <w:docGrid w:linePitch="272"/>
        </w:sectPr>
      </w:pPr>
    </w:p>
    <w:p>
      <w:pPr>
        <w:pStyle w:val="Abstract"/>
      </w:pPr>
      <w:r>
        <w:rPr>
          <w:rFonts w:ascii="Times New Roman" w:hAnsi="Times New Roman"/>
          <w:b/>
          <w:sz w:val="20"/>
        </w:rPr>
        <w:t xml:space="preserve">Abstract: </w:t>
      </w:r>
      <w:r>
        <w:rPr>
          <w:rFonts w:ascii="Times New Roman" w:hAnsi="Times New Roman"/>
          <w:b w:val="0"/>
          <w:sz w:val="20"/>
        </w:rPr>
        <w:t>Convolutional neural networks achieve high reported accuracy on chest radiograph classification, and explainable AI (XAI) methods are routinely added to such systems on the argument that a visible explanation lets a clinician verify the model is using genuine pathology rather than a spurious correlate. This paper builds that argument’s standard implementation — a transfer-learned CNN with Grad-CAM for spatial explanation and SHAP for feature-level attribution, served through a FastAPI endpoint — and then measures whether it does what it is claimed to do. We train ResNet18 and ResNet50 classifiers on the COVID-19 Radiography Database (21,165 images; four classes) using a two-stage fine-tuning schedule and a patient-grouped 70/15/15 split, three seeds each. Macro F1 is 0.9571 ± 0.0016 for ResNet18 and 0.9548 ± 0.0034 for ResNet50 — a 2.1× increase in parameters that is indistinguishable from seed noise and doubles the run-to-run variance. SHAP values are computed in closed form over the penultimate features, which is exact for a linear head and verified against the reference implementation. Three measurements qualify these results. The dataset’s classes are completely separable by source archive before any lung is examined, and retraining on lung-masked images — 77% of each image removed — costs COVID-19 six times the F1 it costs the normal class. Increasing capacity produces no improvement distinguishable from noise, as expected when a shortcut is already exhausted. And neither explanation detects any of this: Grad-CAM produces anatomically plausible maps regardless, and SHAP measures deviation from a training-set mean carrying the same confound. We further show the standard deletion metric is unreliable here and quantify why: 59.7% of its perturbation steps for ResNet18 and 72.6% for ResNet50 are rejected as out-of-distribution by each model’s own Mahalanobis detector. Insertion AUC, which lacks this defect, places Grad-CAM well above a random ordering on both networks. We conclude that visual and feature-level explanations are necessary but demonstrably insufficient for the verification role assigned to them, and that dataset provenance auditing must accompany rather than follow explainability work.</w:t>
      </w:r>
    </w:p>
    <w:p>
      <w:pPr>
        <w:pStyle w:val="IndexTerms"/>
      </w:pPr>
      <w:r>
        <w:rPr>
          <w:rFonts w:ascii="Times New Roman" w:hAnsi="Times New Roman"/>
          <w:b/>
          <w:sz w:val="20"/>
        </w:rPr>
        <w:t xml:space="preserve">Keywords: </w:t>
      </w:r>
      <w:r>
        <w:rPr>
          <w:rFonts w:ascii="Times New Roman" w:hAnsi="Times New Roman"/>
          <w:b w:val="0"/>
          <w:sz w:val="20"/>
        </w:rPr>
        <w:t>Explainable AI, Chest X-ray Classification, Grad-CAM, SHAP, Shortcut Learning, Out-of-Distribution Detection</w:t>
      </w:r>
    </w:p>
    <w:p>
      <w:pPr>
        <w:pStyle w:val="Heading1"/>
        <w:jc w:val="left"/>
      </w:pPr>
      <w:r>
        <w:rPr>
          <w:rFonts w:ascii="Times New Roman" w:hAnsi="Times New Roman"/>
          <w:b/>
          <w:sz w:val="24"/>
        </w:rPr>
        <w:t>1. Introduction</w:t>
      </w:r>
    </w:p>
    <w:p>
      <w:pPr>
        <w:pStyle w:val="Text"/>
      </w:pPr>
      <w:r>
        <w:rPr>
          <w:rFonts w:ascii="Times New Roman" w:hAnsi="Times New Roman"/>
          <w:b w:val="0"/>
        </w:rPr>
        <w:t>Chest radiography remains one of the most widely used diagnostic tools for detecting pulmonary conditions such as pneumonia and COVID-19, particularly where access to specialist radiologists is limited. Convolutional neural networks pretrained on large image corpora and fine-tuned by transfer learning have demonstrated classification accuracy rivalling human readers on several benchmark datasets [3], [4], [5].</w:t>
      </w:r>
    </w:p>
    <w:p>
      <w:pPr>
        <w:pStyle w:val="Text"/>
      </w:pPr>
      <w:r>
        <w:rPr>
          <w:rFonts w:ascii="Times New Roman" w:hAnsi="Times New Roman"/>
          <w:b w:val="0"/>
        </w:rPr>
        <w:t>Despite this, clinical adoption has been slow, largely because these models function as black boxes: a clinician receives a label and a confidence score with no insight into which visual evidence drove the decision. This creates a specific risk — that a model relies on spurious artifacts such as text markers, positioning hardware or scanner-specific noise rather than genuine pathology [7], [10]. Explainable AI addresses this by producing human-interpretable justifications alongside predictions, on the argument that a clinician can then verify, trust or challenge a diagnosis.</w:t>
      </w:r>
    </w:p>
    <w:p>
      <w:pPr>
        <w:pStyle w:val="Text"/>
      </w:pPr>
      <w:r>
        <w:rPr>
          <w:rFonts w:ascii="Times New Roman" w:hAnsi="Times New Roman"/>
          <w:b w:val="0"/>
        </w:rPr>
        <w:t>This paper takes that argument seriously enough to test it. We build the standard implementation and then measure, rather than assert, what its explanations establish. The specific contributions are as follows.</w:t>
      </w:r>
    </w:p>
    <w:p>
      <w:pPr>
        <w:pStyle w:val="Text"/>
        <w:spacing w:after="40"/>
        <w:ind w:left="288" w:hanging="288"/>
      </w:pPr>
      <w:r>
        <w:rPr>
          <w:rFonts w:ascii="Times New Roman" w:hAnsi="Times New Roman"/>
          <w:b/>
          <w:sz w:val="20"/>
        </w:rPr>
        <w:t xml:space="preserve">1) </w:t>
      </w:r>
      <w:r>
        <w:rPr>
          <w:rFonts w:ascii="Times New Roman" w:hAnsi="Times New Roman"/>
          <w:b w:val="0"/>
          <w:sz w:val="20"/>
        </w:rPr>
        <w:t>A four-class chest radiograph classifier trained by two-stage transfer learning, reported at two backbone capacities and three seeds each, so that the effect of model size is separated from the effect of the data and from run-to-run noise.</w:t>
      </w:r>
    </w:p>
    <w:p>
      <w:pPr>
        <w:pStyle w:val="Text"/>
        <w:spacing w:after="40"/>
        <w:ind w:left="288" w:hanging="288"/>
      </w:pPr>
      <w:r>
        <w:rPr>
          <w:rFonts w:ascii="Times New Roman" w:hAnsi="Times New Roman"/>
          <w:b/>
          <w:sz w:val="20"/>
        </w:rPr>
        <w:t xml:space="preserve">2) </w:t>
      </w:r>
      <w:r>
        <w:rPr>
          <w:rFonts w:ascii="Times New Roman" w:hAnsi="Times New Roman"/>
          <w:b w:val="0"/>
          <w:sz w:val="20"/>
        </w:rPr>
        <w:t xml:space="preserve">A dual explainability pipeline combining Grad-CAM with SHAP in which the SHAP values are </w:t>
      </w:r>
      <w:r>
        <w:rPr>
          <w:rFonts w:ascii="Times New Roman" w:hAnsi="Times New Roman"/>
          <w:b/>
          <w:sz w:val="20"/>
        </w:rPr>
        <w:t>exact rather than approximated</w:t>
      </w:r>
      <w:r>
        <w:rPr>
          <w:rFonts w:ascii="Times New Roman" w:hAnsi="Times New Roman"/>
          <w:b w:val="0"/>
          <w:sz w:val="20"/>
        </w:rPr>
        <w:t>, verified against the reference implementation.</w:t>
      </w:r>
    </w:p>
    <w:p>
      <w:pPr>
        <w:pStyle w:val="Text"/>
        <w:spacing w:after="40"/>
        <w:ind w:left="288" w:hanging="288"/>
      </w:pPr>
      <w:r>
        <w:rPr>
          <w:rFonts w:ascii="Times New Roman" w:hAnsi="Times New Roman"/>
          <w:b/>
          <w:sz w:val="20"/>
        </w:rPr>
        <w:t xml:space="preserve">3) </w:t>
      </w:r>
      <w:r>
        <w:rPr>
          <w:rFonts w:ascii="Times New Roman" w:hAnsi="Times New Roman"/>
          <w:b/>
          <w:sz w:val="20"/>
        </w:rPr>
        <w:t>A quantitative audit of both explanations</w:t>
      </w:r>
      <w:r>
        <w:rPr>
          <w:rFonts w:ascii="Times New Roman" w:hAnsi="Times New Roman"/>
          <w:b w:val="0"/>
          <w:sz w:val="20"/>
        </w:rPr>
        <w:t>, each metric reported against an explicit null control rather than in isolation.</w:t>
      </w:r>
    </w:p>
    <w:p>
      <w:pPr>
        <w:pStyle w:val="Text"/>
        <w:spacing w:after="40"/>
        <w:ind w:left="288" w:hanging="288"/>
      </w:pPr>
      <w:r>
        <w:rPr>
          <w:rFonts w:ascii="Times New Roman" w:hAnsi="Times New Roman"/>
          <w:b/>
          <w:sz w:val="20"/>
        </w:rPr>
        <w:t xml:space="preserve">4) </w:t>
      </w:r>
      <w:r>
        <w:rPr>
          <w:rFonts w:ascii="Times New Roman" w:hAnsi="Times New Roman"/>
          <w:b/>
          <w:sz w:val="20"/>
        </w:rPr>
        <w:t>The finding that the deletion metric is confounded by distribution shift</w:t>
      </w:r>
      <w:r>
        <w:rPr>
          <w:rFonts w:ascii="Times New Roman" w:hAnsi="Times New Roman"/>
          <w:b w:val="0"/>
          <w:sz w:val="20"/>
        </w:rPr>
        <w:t>, with a method for detecting that condition using the classifier’s own out-of-distribution detector.</w:t>
      </w:r>
    </w:p>
    <w:p>
      <w:pPr>
        <w:pStyle w:val="Text"/>
        <w:spacing w:after="40"/>
        <w:ind w:left="288" w:hanging="288"/>
      </w:pPr>
      <w:r>
        <w:rPr>
          <w:rFonts w:ascii="Times New Roman" w:hAnsi="Times New Roman"/>
          <w:b/>
          <w:sz w:val="20"/>
        </w:rPr>
        <w:t xml:space="preserve">5) </w:t>
      </w:r>
      <w:r>
        <w:rPr>
          <w:rFonts w:ascii="Times New Roman" w:hAnsi="Times New Roman"/>
          <w:b/>
          <w:sz w:val="20"/>
        </w:rPr>
        <w:t>A dataset provenance audit</w:t>
      </w:r>
      <w:r>
        <w:rPr>
          <w:rFonts w:ascii="Times New Roman" w:hAnsi="Times New Roman"/>
          <w:b w:val="0"/>
          <w:sz w:val="20"/>
        </w:rPr>
        <w:t>, and the demonstration that neither explanation surfaces it.</w:t>
      </w:r>
    </w:p>
    <w:p>
      <w:pPr>
        <w:pStyle w:val="Text"/>
        <w:spacing w:after="40"/>
        <w:ind w:left="288" w:hanging="288"/>
      </w:pPr>
      <w:r>
        <w:rPr>
          <w:rFonts w:ascii="Times New Roman" w:hAnsi="Times New Roman"/>
          <w:b/>
          <w:sz w:val="20"/>
        </w:rPr>
        <w:t xml:space="preserve">6) </w:t>
      </w:r>
      <w:r>
        <w:rPr>
          <w:rFonts w:ascii="Times New Roman" w:hAnsi="Times New Roman"/>
          <w:b w:val="0"/>
          <w:sz w:val="20"/>
        </w:rPr>
        <w:t>An abstention mechanism with per-class calibration, and the measurement that its threshold does not transfer between datasets.</w:t>
      </w:r>
    </w:p>
    <w:p>
      <w:pPr>
        <w:pStyle w:val="Heading1"/>
        <w:jc w:val="left"/>
      </w:pPr>
      <w:r>
        <w:rPr>
          <w:rFonts w:ascii="Times New Roman" w:hAnsi="Times New Roman"/>
          <w:b/>
          <w:sz w:val="24"/>
        </w:rPr>
        <w:t>2. Related Work</w:t>
      </w:r>
    </w:p>
    <w:p>
      <w:pPr>
        <w:pStyle w:val="Heading2"/>
        <w:jc w:val="left"/>
      </w:pPr>
      <w:r>
        <w:rPr>
          <w:rFonts w:ascii="Times New Roman" w:hAnsi="Times New Roman"/>
          <w:b/>
          <w:sz w:val="21"/>
        </w:rPr>
        <w:t>2.1 Deep Learning for Chest X-ray Classification</w:t>
      </w:r>
    </w:p>
    <w:p>
      <w:pPr>
        <w:pStyle w:val="Text"/>
      </w:pPr>
      <w:r>
        <w:rPr>
          <w:rFonts w:ascii="Times New Roman" w:hAnsi="Times New Roman"/>
          <w:b w:val="0"/>
        </w:rPr>
        <w:t>Transfer learning from ImageNet-pretrained CNN architectures is the standard approach for chest X-ray classification given the limited size of labelled medical imaging datasets relative to natural image corpora [3]. Prior work has applied these architectures to pneumonia and COVID-19, generally reporting accuracies in the 83–90 percent range depending on the disease set and evaluation methodology [4], [5].</w:t>
      </w:r>
    </w:p>
    <w:p>
      <w:pPr>
        <w:pStyle w:val="Heading2"/>
        <w:jc w:val="left"/>
      </w:pPr>
      <w:r>
        <w:rPr>
          <w:rFonts w:ascii="Times New Roman" w:hAnsi="Times New Roman"/>
          <w:b/>
          <w:sz w:val="21"/>
        </w:rPr>
        <w:t>2.2 Explainability Techniques in Medical Imaging</w:t>
      </w:r>
    </w:p>
    <w:p>
      <w:pPr>
        <w:pStyle w:val="Text"/>
      </w:pPr>
      <w:r>
        <w:rPr>
          <w:rFonts w:ascii="Times New Roman" w:hAnsi="Times New Roman"/>
          <w:b w:val="0"/>
        </w:rPr>
        <w:t>Grad-CAM [1] is among the most widely used visual explanation techniques for CNN-based medical image classifiers. Complementary approaches such as LIME [6] and SHAP [2] provide feature-level attributions. Several studies combine multiple XAI techniques and evaluate the resulting explanations against radiologist-identified regions of interest. Adebayo et al. [11] show that several saliency methods pass visual inspection while failing basic sanity checks, which motivates the control-based reporting we adopt throughout Section 4.</w:t>
      </w:r>
    </w:p>
    <w:p>
      <w:pPr>
        <w:pStyle w:val="Heading2"/>
        <w:jc w:val="left"/>
      </w:pPr>
      <w:r>
        <w:rPr>
          <w:rFonts w:ascii="Times New Roman" w:hAnsi="Times New Roman"/>
          <w:b/>
          <w:sz w:val="21"/>
        </w:rPr>
        <w:t>2.3 Research Gap</w:t>
      </w:r>
    </w:p>
    <w:p>
      <w:pPr>
        <w:pStyle w:val="Text"/>
      </w:pPr>
      <w:r>
        <w:rPr>
          <w:rFonts w:ascii="Times New Roman" w:hAnsi="Times New Roman"/>
          <w:b w:val="0"/>
        </w:rPr>
        <w:t>Two gaps motivate this work. First, comparatively few studies integrate a dual spatial and feature-attribution pipeline within an end-to-end serving workflow. Second, and more importantly, explanation quality is usually asserted from visual plausibility rather than measured against controls. DeGrave et al. [10] demonstrate shortcut learning in COVID-19 radiograph classifiers; our contribution relative to that work is the ablation-plus-capacity evidence, and specifically the finding that the dual XAI pipeline routinely proposed as the remedy does not surface the problem.</w:t>
      </w:r>
    </w:p>
    <w:p>
      <w:pPr>
        <w:pStyle w:val="Heading1"/>
        <w:jc w:val="left"/>
      </w:pPr>
      <w:r>
        <w:rPr>
          <w:rFonts w:ascii="Times New Roman" w:hAnsi="Times New Roman"/>
          <w:b/>
          <w:sz w:val="24"/>
        </w:rPr>
        <w:t>3. Proposed Methodology</w:t>
      </w:r>
    </w:p>
    <w:p>
      <w:pPr>
        <w:pStyle w:val="Heading2"/>
        <w:jc w:val="left"/>
      </w:pPr>
      <w:r>
        <w:rPr>
          <w:rFonts w:ascii="Times New Roman" w:hAnsi="Times New Roman"/>
          <w:b/>
          <w:sz w:val="21"/>
        </w:rPr>
        <w:t>3.1 System Overview</w:t>
      </w:r>
    </w:p>
    <w:p>
      <w:pPr>
        <w:pStyle w:val="Text"/>
      </w:pPr>
      <w:r>
        <w:rPr>
          <w:rFonts w:ascii="Times New Roman" w:hAnsi="Times New Roman"/>
          <w:b w:val="0"/>
        </w:rPr>
        <w:t>The system comprises four stages: data acquisition and preprocessing; classification using a fine-tuned residual network; a dual explainability pipeline combining Grad-CAM and SHAP; and exposure of predictions and both explanations through a FastAPI service. A fifth component, an out-of-distribution detector, allows the system to abstain and is also used in Section 4.3 as a diagnostic on the fidelity metrics themselves.</w:t>
      </w:r>
    </w:p>
    <w:p>
      <w:pPr>
        <w:pStyle w:val="Heading2"/>
        <w:jc w:val="left"/>
      </w:pPr>
      <w:r>
        <w:rPr>
          <w:rFonts w:ascii="Times New Roman" w:hAnsi="Times New Roman"/>
          <w:b/>
          <w:sz w:val="21"/>
        </w:rPr>
        <w:t>3.2 Dataset and Preprocessing</w:t>
      </w:r>
    </w:p>
    <w:p>
      <w:pPr>
        <w:pStyle w:val="Text"/>
      </w:pPr>
      <w:r>
        <w:rPr>
          <w:rFonts w:ascii="Times New Roman" w:hAnsi="Times New Roman"/>
          <w:b/>
        </w:rPr>
        <w:t>Dataset.</w:t>
      </w:r>
      <w:r>
        <w:rPr>
          <w:rFonts w:ascii="Times New Roman" w:hAnsi="Times New Roman"/>
          <w:b w:val="0"/>
        </w:rPr>
        <w:t xml:space="preserve"> All experiments use the COVID-19 Radiography Database, a publicly available compilation of 21,165 de-identified chest radiographs. We use four classes: NORMAL (10,192), LUNG_OPACITY (6,012), COVID19 (3,616) and PNEUMONIA (1,345). Lung opacity is retained as its own class and never merged into pneumonia, since it denotes a broader radiographic finding. The database also ships lung segmentation masks for all four classes, used in Sections 4.3 and 4.5.</w:t>
      </w:r>
    </w:p>
    <w:p>
      <w:pPr>
        <w:pStyle w:val="Text"/>
      </w:pPr>
      <w:r>
        <w:rPr>
          <w:rFonts w:ascii="Times New Roman" w:hAnsi="Times New Roman"/>
          <w:b/>
        </w:rPr>
        <w:t>Splitting.</w:t>
      </w:r>
      <w:r>
        <w:rPr>
          <w:rFonts w:ascii="Times New Roman" w:hAnsi="Times New Roman"/>
          <w:b w:val="0"/>
        </w:rPr>
        <w:t xml:space="preserve"> Images are partitioned 70/15/15 into training (14,814), validation (3,176) and test (3,175) sets. The split is </w:t>
      </w:r>
      <w:r>
        <w:rPr>
          <w:rFonts w:ascii="Times New Roman" w:hAnsi="Times New Roman"/>
          <w:b/>
        </w:rPr>
        <w:t>grouped by patient</w:t>
      </w:r>
      <w:r>
        <w:rPr>
          <w:rFonts w:ascii="Times New Roman" w:hAnsi="Times New Roman"/>
          <w:b w:val="0"/>
        </w:rPr>
        <w:t>: several constituent collections contain multiple films of the same chest, and splitting those at random places the same patient in both training and test, inflating the reported score.</w:t>
      </w:r>
    </w:p>
    <w:p>
      <w:pPr>
        <w:pStyle w:val="Text"/>
      </w:pPr>
      <w:r>
        <w:rPr>
          <w:rFonts w:ascii="Times New Roman" w:hAnsi="Times New Roman"/>
          <w:b/>
        </w:rPr>
        <w:t>Preprocessing.</w:t>
      </w:r>
      <w:r>
        <w:rPr>
          <w:rFonts w:ascii="Times New Roman" w:hAnsi="Times New Roman"/>
          <w:b w:val="0"/>
        </w:rPr>
        <w:t xml:space="preserve"> Images are converted to greyscale and replicated to three channels, resized to 224×224, and normalised with ImageNet channel statistics. Augmentation on the training split comprises random resized cropping (scale 0.85–1.0), rotation up to 10 degrees, and brightness and contrast jitter of 0.15. </w:t>
      </w:r>
      <w:r>
        <w:rPr>
          <w:rFonts w:ascii="Times New Roman" w:hAnsi="Times New Roman"/>
          <w:b/>
        </w:rPr>
        <w:t>Horizontal flipping is deliberately excluded</w:t>
      </w:r>
      <w:r>
        <w:rPr>
          <w:rFonts w:ascii="Times New Roman" w:hAnsi="Times New Roman"/>
          <w:b w:val="0"/>
        </w:rPr>
        <w:t>: a mirrored chest places the heart on the right, an anatomy occurring in roughly 1 in 10,000 people, and training a model to treat it as unremarkable is not a defensible trade for a marginal increase in effective dataset size.</w:t>
      </w:r>
    </w:p>
    <w:p>
      <w:pPr>
        <w:pStyle w:val="Text"/>
      </w:pPr>
      <w:r>
        <w:rPr>
          <w:rFonts w:ascii="Times New Roman" w:hAnsi="Times New Roman"/>
          <w:b/>
        </w:rPr>
        <w:t>Class imbalance</w:t>
      </w:r>
      <w:r>
        <w:rPr>
          <w:rFonts w:ascii="Times New Roman" w:hAnsi="Times New Roman"/>
          <w:b w:val="0"/>
        </w:rPr>
        <w:t xml:space="preserve"> is addressed by a weighted random sampler drawing each class approximately equally often. Inverse-frequency loss weighting is available as an alternative; the two are not combined, since applying both over-corrects toward the rare classes.</w:t>
      </w:r>
    </w:p>
    <w:p>
      <w:pPr>
        <w:pStyle w:val="Heading2"/>
        <w:jc w:val="left"/>
      </w:pPr>
      <w:r>
        <w:rPr>
          <w:rFonts w:ascii="Times New Roman" w:hAnsi="Times New Roman"/>
          <w:b/>
          <w:sz w:val="21"/>
        </w:rPr>
        <w:t>3.3 Model Architecture</w:t>
      </w:r>
    </w:p>
    <w:p>
      <w:pPr>
        <w:pStyle w:val="Text"/>
      </w:pPr>
      <w:r>
        <w:rPr>
          <w:rFonts w:ascii="Times New Roman" w:hAnsi="Times New Roman"/>
          <w:b/>
        </w:rPr>
        <w:t>Backbones.</w:t>
      </w:r>
      <w:r>
        <w:rPr>
          <w:rFonts w:ascii="Times New Roman" w:hAnsi="Times New Roman"/>
          <w:b w:val="0"/>
        </w:rPr>
        <w:t xml:space="preserve"> We report ResNet18 and ResNet50, each with its 1000-way ImageNet head replaced by a fresh four-way linear layer, giving 11.18M and 23.52M parameters — a factor of 2.1.</w:t>
      </w:r>
    </w:p>
    <w:p>
      <w:pPr>
        <w:pStyle w:val="Text"/>
      </w:pPr>
      <w:r>
        <w:rPr>
          <w:rFonts w:ascii="Times New Roman" w:hAnsi="Times New Roman"/>
          <w:b/>
        </w:rPr>
        <w:t>Two-stage fine-tuning.</w:t>
      </w:r>
      <w:r>
        <w:rPr>
          <w:rFonts w:ascii="Times New Roman" w:hAnsi="Times New Roman"/>
          <w:b w:val="0"/>
        </w:rPr>
        <w:t xml:space="preserve"> The backbone is first frozen and only the head trained (learning rate 3×10⁻⁴), then the whole network unfrozen and training continued from those weights at a reduced rate (1×10⁻⁴). The second stage restores weights only: optimizer state is not carried across, since AdamW moments accumulated while the backbone was frozen do not describe the parameters the second stage unfreezes.</w:t>
      </w:r>
    </w:p>
    <w:p>
      <w:pPr>
        <w:pStyle w:val="Text"/>
      </w:pPr>
      <w:r>
        <w:rPr>
          <w:rFonts w:ascii="Times New Roman" w:hAnsi="Times New Roman"/>
          <w:b/>
        </w:rPr>
        <w:t>Optimisation.</w:t>
      </w:r>
      <w:r>
        <w:rPr>
          <w:rFonts w:ascii="Times New Roman" w:hAnsi="Times New Roman"/>
          <w:b w:val="0"/>
        </w:rPr>
        <w:t xml:space="preserve"> AdamW, weight decay 10⁻⁴, cosine-annealed learning rate, batch size 32, early stopping with patience 5. Model selection is on </w:t>
      </w:r>
      <w:r>
        <w:rPr>
          <w:rFonts w:ascii="Times New Roman" w:hAnsi="Times New Roman"/>
          <w:b/>
        </w:rPr>
        <w:t>validation macro F1, not accuracy</w:t>
      </w:r>
      <w:r>
        <w:rPr>
          <w:rFonts w:ascii="Times New Roman" w:hAnsi="Times New Roman"/>
          <w:b w:val="0"/>
        </w:rPr>
        <w:t>: with COVID-19 at roughly a tenth of the normal-class count, a model that never predicts the rarest class can still post a high accuracy, and selection on accuracy would faithfully preserve that model.</w:t>
      </w:r>
    </w:p>
    <w:p>
      <w:pPr>
        <w:pStyle w:val="Heading2"/>
        <w:jc w:val="left"/>
      </w:pPr>
      <w:r>
        <w:rPr>
          <w:rFonts w:ascii="Times New Roman" w:hAnsi="Times New Roman"/>
          <w:b/>
          <w:sz w:val="21"/>
        </w:rPr>
        <w:t>3.4 Explainability Pipeline</w:t>
      </w:r>
    </w:p>
    <w:p>
      <w:pPr>
        <w:pStyle w:val="Text"/>
      </w:pPr>
      <w:r>
        <w:rPr>
          <w:rFonts w:ascii="Times New Roman" w:hAnsi="Times New Roman"/>
          <w:b/>
        </w:rPr>
        <w:t>Grad-CAM</w:t>
      </w:r>
      <w:r>
        <w:rPr>
          <w:rFonts w:ascii="Times New Roman" w:hAnsi="Times New Roman"/>
          <w:b w:val="0"/>
        </w:rPr>
        <w:t xml:space="preserve"> is applied at the final convolutional block (7×7 for a 224-pixel input), weighting each feature map by the mean gradient of the target class score with respect to it, rectifying, and bilinearly upsampling to the input resolution. Explanations can be requested for a class other than the predicted one.</w:t>
      </w:r>
    </w:p>
    <w:p>
      <w:pPr>
        <w:pStyle w:val="Text"/>
      </w:pPr>
      <w:r>
        <w:rPr>
          <w:rFonts w:ascii="Times New Roman" w:hAnsi="Times New Roman"/>
          <w:b/>
        </w:rPr>
        <w:t>SHAP over learned features.</w:t>
      </w:r>
      <w:r>
        <w:rPr>
          <w:rFonts w:ascii="Times New Roman" w:hAnsi="Times New Roman"/>
          <w:b w:val="0"/>
        </w:rPr>
        <w:t xml:space="preserve"> SHAP is applied to the penultimate representation — 512 dimensions for ResNet18, 2048 for ResNet50 — rather than to pixels. Pixel-level SHAP would produce another spatial map, giving the system two answers to “where” and none to “how much”; attributing over the features the classifier actually reads gives a genuinely different view.</w:t>
      </w:r>
    </w:p>
    <w:p>
      <w:pPr>
        <w:pStyle w:val="Text"/>
      </w:pPr>
      <w:r>
        <w:rPr>
          <w:rFonts w:ascii="Times New Roman" w:hAnsi="Times New Roman"/>
          <w:b w:val="0"/>
        </w:rPr>
        <w:t>This choice also makes the attribution exact. The head is a single linear layer, so the class score is w·x + b, and for a linear model the Shapley values have a closed form, φᵢ = wᵢ(xᵢ − E[xᵢ]) with base value w·E[x] + b, where E[x] is the mean feature vector over the training split. No sampling and no convergence criterion are involved. The decomposition satisfies the Shapley efficiency axiom exactly, and our implementation is verified to agree with the reference LinearExplainer of Lundberg and Lee [2] to floating-point precision.</w:t>
      </w:r>
    </w:p>
    <w:p>
      <w:pPr>
        <w:pStyle w:val="Text"/>
      </w:pPr>
      <w:r>
        <w:rPr>
          <w:rFonts w:ascii="Times New Roman" w:hAnsi="Times New Roman"/>
          <w:b/>
        </w:rPr>
        <w:t>Four limitations</w:t>
      </w:r>
      <w:r>
        <w:rPr>
          <w:rFonts w:ascii="Times New Roman" w:hAnsi="Times New Roman"/>
          <w:b w:val="0"/>
        </w:rPr>
        <w:t xml:space="preserve">, which bear directly on Section 4.4. (i) A feature index is not a clinical concept: “feature 453 contributed +0.44 logits” conveys nothing to a radiologist. (ii) The interventional formulation treats features as independent, which convolutional channels are not. (iii) Logits are explained, not probabilities, since softmax is not additive. (iv) </w:t>
      </w:r>
      <w:r>
        <w:rPr>
          <w:rFonts w:ascii="Times New Roman" w:hAnsi="Times New Roman"/>
          <w:b/>
        </w:rPr>
        <w:t>The baseline is the mean training image, so the attribution inherits whatever the training set has in common — including its provenance.</w:t>
      </w:r>
    </w:p>
    <w:p>
      <w:pPr>
        <w:pStyle w:val="Heading2"/>
        <w:jc w:val="left"/>
      </w:pPr>
      <w:r>
        <w:rPr>
          <w:rFonts w:ascii="Times New Roman" w:hAnsi="Times New Roman"/>
          <w:b/>
          <w:sz w:val="21"/>
        </w:rPr>
        <w:t>3.5 System Integration</w:t>
      </w:r>
    </w:p>
    <w:p>
      <w:pPr>
        <w:pStyle w:val="Text"/>
      </w:pPr>
      <w:r>
        <w:rPr>
          <w:rFonts w:ascii="Times New Roman" w:hAnsi="Times New Roman"/>
          <w:b w:val="0"/>
        </w:rPr>
        <w:t>Predictions and both explanations are served from a FastAPI application with four endpoints: /health, /predict, /explain, and /analyze, the last returning the prediction, the Grad-CAM overlay base64-encoded, and the SHAP summary in a single JSON response. /analyze exists because the two explanations are intended to be read together, and delivering them over separate requests permits an interface to render the image and silently discard the numbers. Its SHAP block carries the base value, the sum of contributions and the resulting logit, so a client can verify the decomposition it is shown, together with the fraction of total attributed movement the listed features represent.</w:t>
      </w:r>
    </w:p>
    <w:p>
      <w:pPr>
        <w:pStyle w:val="Text"/>
      </w:pPr>
      <w:r>
        <w:rPr>
          <w:rFonts w:ascii="Times New Roman" w:hAnsi="Times New Roman"/>
          <w:b w:val="0"/>
        </w:rPr>
        <w:t xml:space="preserve">Every response carries a non-dismissible disclaimer, and the interface deliberately does </w:t>
      </w:r>
      <w:r>
        <w:rPr>
          <w:rFonts w:ascii="Times New Roman" w:hAnsi="Times New Roman"/>
          <w:b/>
        </w:rPr>
        <w:t>not</w:t>
      </w:r>
      <w:r>
        <w:rPr>
          <w:rFonts w:ascii="Times New Roman" w:hAnsi="Times New Roman"/>
          <w:b w:val="0"/>
        </w:rPr>
        <w:t xml:space="preserve"> colour-code the disease classes: a green bar reading “NORMAL 94%” constitutes an all-clear the system is not entitled to give.</w:t>
      </w:r>
    </w:p>
    <w:p>
      <w:pPr>
        <w:pStyle w:val="Heading1"/>
        <w:jc w:val="left"/>
      </w:pPr>
      <w:r>
        <w:rPr>
          <w:rFonts w:ascii="Times New Roman" w:hAnsi="Times New Roman"/>
          <w:b/>
          <w:sz w:val="24"/>
        </w:rPr>
        <w:t>4. Evaluation and Results</w:t>
      </w:r>
    </w:p>
    <w:p>
      <w:pPr>
        <w:pStyle w:val="Text"/>
      </w:pPr>
      <w:r>
        <w:rPr>
          <w:rFonts w:ascii="Times New Roman" w:hAnsi="Times New Roman"/>
          <w:b w:val="0"/>
        </w:rPr>
        <w:t>Each metric is reported against an explicit null, since none is interpretable alone.</w:t>
      </w:r>
    </w:p>
    <w:p>
      <w:pPr>
        <w:pStyle w:val="TableCaption"/>
        <w:spacing w:before="120" w:after="40"/>
        <w:jc w:val="center"/>
      </w:pPr>
      <w:r>
        <w:rPr>
          <w:rFonts w:ascii="Times New Roman" w:hAnsi="Times New Roman"/>
          <w:b/>
          <w:sz w:val="18"/>
        </w:rPr>
        <w:t>Table 1: Metrics and the control each is read against</w:t>
      </w:r>
    </w:p>
    <w:tbl>
      <w:tblPr>
        <w:tblStyle w:val="TableGrid"/>
        <w:tblW w:type="dxa" w:w="4925"/>
        <w:tblLayout w:type="fixed"/>
        <w:tblLook w:firstColumn="1" w:firstRow="1" w:lastColumn="0" w:lastRow="0" w:noHBand="0" w:noVBand="1" w:val="04A0"/>
      </w:tblPr>
      <w:tblGrid>
        <w:gridCol w:w="1955"/>
        <w:gridCol w:w="2970"/>
      </w:tblGrid>
      <w:tr>
        <w:tc>
          <w:tcPr>
            <w:tcW w:type="dxa" w:w="1955"/>
          </w:tcPr>
          <w:p>
            <w:pPr>
              <w:spacing w:before="20" w:after="20"/>
              <w:jc w:val="center"/>
            </w:pPr>
            <w:r>
              <w:rPr>
                <w:rFonts w:ascii="Times New Roman" w:hAnsi="Times New Roman"/>
                <w:b/>
                <w:sz w:val="16"/>
              </w:rPr>
            </w:r>
            <w:r>
              <w:rPr>
                <w:rFonts w:ascii="Times New Roman" w:hAnsi="Times New Roman"/>
                <w:b/>
                <w:sz w:val="16"/>
              </w:rPr>
              <w:t>Metric</w:t>
            </w:r>
          </w:p>
        </w:tc>
        <w:tc>
          <w:tcPr>
            <w:tcW w:type="dxa" w:w="2970"/>
          </w:tcPr>
          <w:p>
            <w:pPr>
              <w:spacing w:before="20" w:after="20"/>
              <w:jc w:val="center"/>
            </w:pPr>
            <w:r>
              <w:rPr>
                <w:rFonts w:ascii="Times New Roman" w:hAnsi="Times New Roman"/>
                <w:b/>
                <w:sz w:val="16"/>
              </w:rPr>
            </w:r>
            <w:r>
              <w:rPr>
                <w:rFonts w:ascii="Times New Roman" w:hAnsi="Times New Roman"/>
                <w:b/>
                <w:sz w:val="16"/>
              </w:rPr>
              <w:t>Control</w:t>
            </w:r>
          </w:p>
        </w:tc>
      </w:tr>
      <w:tr>
        <w:tc>
          <w:tcPr>
            <w:tcW w:type="dxa" w:w="1955"/>
          </w:tcPr>
          <w:p>
            <w:pPr>
              <w:spacing w:before="20" w:after="20"/>
              <w:jc w:val="left"/>
            </w:pPr>
            <w:r>
              <w:rPr>
                <w:rFonts w:ascii="Times New Roman" w:hAnsi="Times New Roman"/>
                <w:sz w:val="16"/>
              </w:rPr>
            </w:r>
            <w:r>
              <w:rPr>
                <w:rFonts w:ascii="Times New Roman" w:hAnsi="Times New Roman"/>
                <w:b w:val="0"/>
                <w:sz w:val="16"/>
              </w:rPr>
              <w:t>Accuracy, precision, recall, F1, AUC</w:t>
            </w:r>
          </w:p>
        </w:tc>
        <w:tc>
          <w:tcPr>
            <w:tcW w:type="dxa" w:w="2970"/>
          </w:tcPr>
          <w:p>
            <w:pPr>
              <w:spacing w:before="20" w:after="20"/>
              <w:jc w:val="center"/>
            </w:pPr>
            <w:r>
              <w:rPr>
                <w:rFonts w:ascii="Times New Roman" w:hAnsi="Times New Roman"/>
                <w:sz w:val="16"/>
              </w:rPr>
            </w:r>
            <w:r>
              <w:rPr>
                <w:rFonts w:ascii="Times New Roman" w:hAnsi="Times New Roman"/>
                <w:b w:val="0"/>
                <w:sz w:val="16"/>
              </w:rPr>
              <w:t>Per-class recall, since accuracy is set by the majority class</w:t>
            </w:r>
          </w:p>
        </w:tc>
      </w:tr>
      <w:tr>
        <w:tc>
          <w:tcPr>
            <w:tcW w:type="dxa" w:w="1955"/>
          </w:tcPr>
          <w:p>
            <w:pPr>
              <w:spacing w:before="20" w:after="20"/>
              <w:jc w:val="left"/>
            </w:pPr>
            <w:r>
              <w:rPr>
                <w:rFonts w:ascii="Times New Roman" w:hAnsi="Times New Roman"/>
                <w:sz w:val="16"/>
              </w:rPr>
            </w:r>
            <w:r>
              <w:rPr>
                <w:rFonts w:ascii="Times New Roman" w:hAnsi="Times New Roman"/>
                <w:b w:val="0"/>
                <w:sz w:val="16"/>
              </w:rPr>
              <w:t>Deletion / insertion AUC</w:t>
            </w:r>
          </w:p>
        </w:tc>
        <w:tc>
          <w:tcPr>
            <w:tcW w:type="dxa" w:w="2970"/>
          </w:tcPr>
          <w:p>
            <w:pPr>
              <w:spacing w:before="20" w:after="20"/>
              <w:jc w:val="center"/>
            </w:pPr>
            <w:r>
              <w:rPr>
                <w:rFonts w:ascii="Times New Roman" w:hAnsi="Times New Roman"/>
                <w:sz w:val="16"/>
              </w:rPr>
            </w:r>
            <w:r>
              <w:rPr>
                <w:rFonts w:ascii="Times New Roman" w:hAnsi="Times New Roman"/>
                <w:b w:val="0"/>
                <w:sz w:val="16"/>
              </w:rPr>
              <w:t>The same curves under a random pixel ordering</w:t>
            </w:r>
          </w:p>
        </w:tc>
      </w:tr>
      <w:tr>
        <w:tc>
          <w:tcPr>
            <w:tcW w:type="dxa" w:w="1955"/>
          </w:tcPr>
          <w:p>
            <w:pPr>
              <w:spacing w:before="20" w:after="20"/>
              <w:jc w:val="left"/>
            </w:pPr>
            <w:r>
              <w:rPr>
                <w:rFonts w:ascii="Times New Roman" w:hAnsi="Times New Roman"/>
                <w:sz w:val="16"/>
              </w:rPr>
            </w:r>
            <w:r>
              <w:rPr>
                <w:rFonts w:ascii="Times New Roman" w:hAnsi="Times New Roman"/>
                <w:b w:val="0"/>
                <w:sz w:val="16"/>
              </w:rPr>
              <w:t>Steps rejected by OOD detector</w:t>
            </w:r>
          </w:p>
        </w:tc>
        <w:tc>
          <w:tcPr>
            <w:tcW w:type="dxa" w:w="2970"/>
          </w:tcPr>
          <w:p>
            <w:pPr>
              <w:spacing w:before="20" w:after="20"/>
              <w:jc w:val="center"/>
            </w:pPr>
            <w:r>
              <w:rPr>
                <w:rFonts w:ascii="Times New Roman" w:hAnsi="Times New Roman"/>
                <w:sz w:val="16"/>
              </w:rPr>
            </w:r>
            <w:r>
              <w:rPr>
                <w:rFonts w:ascii="Times New Roman" w:hAnsi="Times New Roman"/>
                <w:b w:val="0"/>
                <w:sz w:val="16"/>
              </w:rPr>
              <w:t>A diagnostic on the two metrics above</w:t>
            </w:r>
          </w:p>
        </w:tc>
      </w:tr>
      <w:tr>
        <w:tc>
          <w:tcPr>
            <w:tcW w:type="dxa" w:w="1955"/>
          </w:tcPr>
          <w:p>
            <w:pPr>
              <w:spacing w:before="20" w:after="20"/>
              <w:jc w:val="left"/>
            </w:pPr>
            <w:r>
              <w:rPr>
                <w:rFonts w:ascii="Times New Roman" w:hAnsi="Times New Roman"/>
                <w:sz w:val="16"/>
              </w:rPr>
            </w:r>
            <w:r>
              <w:rPr>
                <w:rFonts w:ascii="Times New Roman" w:hAnsi="Times New Roman"/>
                <w:b w:val="0"/>
                <w:sz w:val="16"/>
              </w:rPr>
              <w:t>Grad-CAM mass in lung fields</w:t>
            </w:r>
          </w:p>
        </w:tc>
        <w:tc>
          <w:tcPr>
            <w:tcW w:type="dxa" w:w="2970"/>
          </w:tcPr>
          <w:p>
            <w:pPr>
              <w:spacing w:before="20" w:after="20"/>
              <w:jc w:val="center"/>
            </w:pPr>
            <w:r>
              <w:rPr>
                <w:rFonts w:ascii="Times New Roman" w:hAnsi="Times New Roman"/>
                <w:sz w:val="16"/>
              </w:rPr>
            </w:r>
            <w:r>
              <w:rPr>
                <w:rFonts w:ascii="Times New Roman" w:hAnsi="Times New Roman"/>
                <w:b w:val="0"/>
                <w:sz w:val="16"/>
              </w:rPr>
              <w:t>The lung fields’ share of image area</w:t>
            </w:r>
          </w:p>
        </w:tc>
      </w:tr>
      <w:tr>
        <w:tc>
          <w:tcPr>
            <w:tcW w:type="dxa" w:w="1955"/>
          </w:tcPr>
          <w:p>
            <w:pPr>
              <w:spacing w:before="20" w:after="20"/>
              <w:jc w:val="left"/>
            </w:pPr>
            <w:r>
              <w:rPr>
                <w:rFonts w:ascii="Times New Roman" w:hAnsi="Times New Roman"/>
                <w:sz w:val="16"/>
              </w:rPr>
            </w:r>
            <w:r>
              <w:rPr>
                <w:rFonts w:ascii="Times New Roman" w:hAnsi="Times New Roman"/>
                <w:b w:val="0"/>
                <w:sz w:val="16"/>
              </w:rPr>
              <w:t>Within-class SHAP cosine</w:t>
            </w:r>
          </w:p>
        </w:tc>
        <w:tc>
          <w:tcPr>
            <w:tcW w:type="dxa" w:w="2970"/>
          </w:tcPr>
          <w:p>
            <w:pPr>
              <w:spacing w:before="20" w:after="20"/>
              <w:jc w:val="center"/>
            </w:pPr>
            <w:r>
              <w:rPr>
                <w:rFonts w:ascii="Times New Roman" w:hAnsi="Times New Roman"/>
                <w:sz w:val="16"/>
              </w:rPr>
            </w:r>
            <w:r>
              <w:rPr>
                <w:rFonts w:ascii="Times New Roman" w:hAnsi="Times New Roman"/>
                <w:b w:val="0"/>
                <w:sz w:val="16"/>
              </w:rPr>
              <w:t>The same statistic over all pairs regardless of class</w:t>
            </w:r>
          </w:p>
        </w:tc>
      </w:tr>
      <w:tr>
        <w:tc>
          <w:tcPr>
            <w:tcW w:type="dxa" w:w="1955"/>
          </w:tcPr>
          <w:p>
            <w:pPr>
              <w:spacing w:before="20" w:after="20"/>
              <w:jc w:val="left"/>
            </w:pPr>
            <w:r>
              <w:rPr>
                <w:rFonts w:ascii="Times New Roman" w:hAnsi="Times New Roman"/>
                <w:sz w:val="16"/>
              </w:rPr>
            </w:r>
            <w:r>
              <w:rPr>
                <w:rFonts w:ascii="Times New Roman" w:hAnsi="Times New Roman"/>
                <w:b w:val="0"/>
                <w:sz w:val="16"/>
              </w:rPr>
              <w:t>Top-k attribution coverage</w:t>
            </w:r>
          </w:p>
        </w:tc>
        <w:tc>
          <w:tcPr>
            <w:tcW w:type="dxa" w:w="2970"/>
          </w:tcPr>
          <w:p>
            <w:pPr>
              <w:spacing w:before="20" w:after="20"/>
              <w:jc w:val="center"/>
            </w:pPr>
            <w:r>
              <w:rPr>
                <w:rFonts w:ascii="Times New Roman" w:hAnsi="Times New Roman"/>
                <w:sz w:val="16"/>
              </w:rPr>
            </w:r>
            <w:r>
              <w:rPr>
                <w:rFonts w:ascii="Times New Roman" w:hAnsi="Times New Roman"/>
                <w:b w:val="0"/>
                <w:sz w:val="16"/>
              </w:rPr>
              <w:t>k / d, the uniform expectation</w:t>
            </w:r>
          </w:p>
        </w:tc>
      </w:tr>
      <w:tr>
        <w:tc>
          <w:tcPr>
            <w:tcW w:type="dxa" w:w="1955"/>
          </w:tcPr>
          <w:p>
            <w:pPr>
              <w:spacing w:before="20" w:after="20"/>
              <w:jc w:val="left"/>
            </w:pPr>
            <w:r>
              <w:rPr>
                <w:rFonts w:ascii="Times New Roman" w:hAnsi="Times New Roman"/>
                <w:sz w:val="16"/>
              </w:rPr>
            </w:r>
            <w:r>
              <w:rPr>
                <w:rFonts w:ascii="Times New Roman" w:hAnsi="Times New Roman"/>
                <w:b w:val="0"/>
                <w:sz w:val="16"/>
              </w:rPr>
              <w:t>F1 under lung masking</w:t>
            </w:r>
          </w:p>
        </w:tc>
        <w:tc>
          <w:tcPr>
            <w:tcW w:type="dxa" w:w="2970"/>
          </w:tcPr>
          <w:p>
            <w:pPr>
              <w:spacing w:before="20" w:after="20"/>
              <w:jc w:val="center"/>
            </w:pPr>
            <w:r>
              <w:rPr>
                <w:rFonts w:ascii="Times New Roman" w:hAnsi="Times New Roman"/>
                <w:sz w:val="16"/>
              </w:rPr>
            </w:r>
            <w:r>
              <w:rPr>
                <w:rFonts w:ascii="Times New Roman" w:hAnsi="Times New Roman"/>
                <w:b w:val="0"/>
                <w:sz w:val="16"/>
              </w:rPr>
              <w:t>The identical recipe on unmasked images</w:t>
            </w:r>
          </w:p>
        </w:tc>
      </w:tr>
      <w:tr>
        <w:tc>
          <w:tcPr>
            <w:tcW w:type="dxa" w:w="1955"/>
          </w:tcPr>
          <w:p>
            <w:pPr>
              <w:spacing w:before="20" w:after="20"/>
              <w:jc w:val="left"/>
            </w:pPr>
            <w:r>
              <w:rPr>
                <w:rFonts w:ascii="Times New Roman" w:hAnsi="Times New Roman"/>
                <w:sz w:val="16"/>
              </w:rPr>
            </w:r>
            <w:r>
              <w:rPr>
                <w:rFonts w:ascii="Times New Roman" w:hAnsi="Times New Roman"/>
                <w:b w:val="0"/>
                <w:sz w:val="16"/>
              </w:rPr>
              <w:t>Per-class false-reject rate</w:t>
            </w:r>
          </w:p>
        </w:tc>
        <w:tc>
          <w:tcPr>
            <w:tcW w:type="dxa" w:w="2970"/>
          </w:tcPr>
          <w:p>
            <w:pPr>
              <w:spacing w:before="20" w:after="20"/>
              <w:jc w:val="center"/>
            </w:pPr>
            <w:r>
              <w:rPr>
                <w:rFonts w:ascii="Times New Roman" w:hAnsi="Times New Roman"/>
                <w:sz w:val="16"/>
              </w:rPr>
            </w:r>
            <w:r>
              <w:rPr>
                <w:rFonts w:ascii="Times New Roman" w:hAnsi="Times New Roman"/>
                <w:b w:val="0"/>
                <w:sz w:val="16"/>
              </w:rPr>
              <w:t>The nominal percentile</w:t>
            </w:r>
          </w:p>
        </w:tc>
      </w:tr>
    </w:tbl>
    <w:p>
      <w:pPr>
        <w:pStyle w:val="Text"/>
        <w:spacing w:after="80"/>
      </w:pPr>
    </w:p>
    <w:p>
      <w:pPr>
        <w:pStyle w:val="Text"/>
      </w:pPr>
      <w:r>
        <w:rPr>
          <w:rFonts w:ascii="Times New Roman" w:hAnsi="Times New Roman"/>
          <w:b/>
        </w:rPr>
        <w:t>On localisation.</w:t>
      </w:r>
      <w:r>
        <w:rPr>
          <w:rFonts w:ascii="Times New Roman" w:hAnsi="Times New Roman"/>
          <w:b w:val="0"/>
        </w:rPr>
        <w:t xml:space="preserve"> We report the fraction of Grad-CAM mass inside the lung fields, </w:t>
      </w:r>
      <w:r>
        <w:rPr>
          <w:rFonts w:ascii="Times New Roman" w:hAnsi="Times New Roman"/>
          <w:b/>
        </w:rPr>
        <w:t>not</w:t>
      </w:r>
      <w:r>
        <w:rPr>
          <w:rFonts w:ascii="Times New Roman" w:hAnsi="Times New Roman"/>
          <w:b w:val="0"/>
        </w:rPr>
        <w:t xml:space="preserve"> intersection-over-union against annotated pathology. The available masks segment the lungs, so a heatmap covering both lungs entirely scores perfectly while having localised nothing. Because the lung fields occupy roughly a quarter of a radiograph, an uninformative map already achieves a mass fraction near 0.24, and only the enrichment ratio — mass fraction divided by area fraction, where 1.0 denotes no better than uniform — carries information. Genuine pathology IoU requires annotations this dataset does not carry.</w:t>
      </w:r>
    </w:p>
    <w:p>
      <w:pPr>
        <w:pStyle w:val="Heading2"/>
        <w:jc w:val="left"/>
      </w:pPr>
      <w:r>
        <w:rPr>
          <w:rFonts w:ascii="Times New Roman" w:hAnsi="Times New Roman"/>
          <w:b/>
          <w:sz w:val="21"/>
        </w:rPr>
        <w:t>4.1 Classification Performance</w:t>
      </w:r>
    </w:p>
    <w:p>
      <w:pPr>
        <w:pStyle w:val="Text"/>
      </w:pPr>
      <w:r>
        <w:rPr>
          <w:rFonts w:ascii="Times New Roman" w:hAnsi="Times New Roman"/>
          <w:b w:val="0"/>
        </w:rPr>
        <w:t>All figures are on the held-out test split of 3,175 images (COVID19 542, LUNG_OPACITY 902, NORMAL 1,529, PNEUMONIA 202).</w:t>
      </w:r>
    </w:p>
    <w:p>
      <w:pPr>
        <w:pStyle w:val="TableCaption"/>
        <w:spacing w:before="120" w:after="40"/>
        <w:jc w:val="center"/>
      </w:pPr>
      <w:r>
        <w:rPr>
          <w:rFonts w:ascii="Times New Roman" w:hAnsi="Times New Roman"/>
          <w:b/>
          <w:sz w:val="18"/>
        </w:rPr>
        <w:t>Table 2: Classification performance, seed-42 runs</w:t>
      </w:r>
    </w:p>
    <w:tbl>
      <w:tblPr>
        <w:tblStyle w:val="TableGrid"/>
        <w:tblW w:type="dxa" w:w="4925"/>
        <w:tblLayout w:type="fixed"/>
        <w:tblLook w:firstColumn="1" w:firstRow="1" w:lastColumn="0" w:lastRow="0" w:noHBand="0" w:noVBand="1" w:val="04A0"/>
      </w:tblPr>
      <w:tblGrid>
        <w:gridCol w:w="2028"/>
        <w:gridCol w:w="1448"/>
        <w:gridCol w:w="1449"/>
      </w:tblGrid>
      <w:tr>
        <w:tc>
          <w:tcPr>
            <w:tcW w:type="dxa" w:w="2028"/>
          </w:tcPr>
          <w:p>
            <w:pPr>
              <w:spacing w:before="20" w:after="20"/>
              <w:jc w:val="center"/>
            </w:pPr>
            <w:r>
              <w:rPr>
                <w:rFonts w:ascii="Times New Roman" w:hAnsi="Times New Roman"/>
                <w:b/>
                <w:sz w:val="16"/>
              </w:rPr>
            </w:r>
            <w:r>
              <w:rPr>
                <w:rFonts w:ascii="Times New Roman" w:hAnsi="Times New Roman"/>
                <w:b/>
                <w:sz w:val="16"/>
              </w:rPr>
              <w:t>Quantity</w:t>
            </w:r>
          </w:p>
        </w:tc>
        <w:tc>
          <w:tcPr>
            <w:tcW w:type="dxa" w:w="1448"/>
          </w:tcPr>
          <w:p>
            <w:pPr>
              <w:spacing w:before="20" w:after="20"/>
              <w:jc w:val="center"/>
            </w:pPr>
            <w:r>
              <w:rPr>
                <w:rFonts w:ascii="Times New Roman" w:hAnsi="Times New Roman"/>
                <w:b/>
                <w:sz w:val="16"/>
              </w:rPr>
            </w:r>
            <w:r>
              <w:rPr>
                <w:rFonts w:ascii="Times New Roman" w:hAnsi="Times New Roman"/>
                <w:b/>
                <w:sz w:val="16"/>
              </w:rPr>
              <w:t>ResNet18</w:t>
            </w:r>
          </w:p>
        </w:tc>
        <w:tc>
          <w:tcPr>
            <w:tcW w:type="dxa" w:w="1449"/>
          </w:tcPr>
          <w:p>
            <w:pPr>
              <w:spacing w:before="20" w:after="20"/>
              <w:jc w:val="center"/>
            </w:pPr>
            <w:r>
              <w:rPr>
                <w:rFonts w:ascii="Times New Roman" w:hAnsi="Times New Roman"/>
                <w:b/>
                <w:sz w:val="16"/>
              </w:rPr>
            </w:r>
            <w:r>
              <w:rPr>
                <w:rFonts w:ascii="Times New Roman" w:hAnsi="Times New Roman"/>
                <w:b/>
                <w:sz w:val="16"/>
              </w:rPr>
              <w:t>ResNet50</w:t>
            </w:r>
          </w:p>
        </w:tc>
      </w:tr>
      <w:tr>
        <w:tc>
          <w:tcPr>
            <w:tcW w:type="dxa" w:w="2028"/>
          </w:tcPr>
          <w:p>
            <w:pPr>
              <w:spacing w:before="20" w:after="20"/>
              <w:jc w:val="left"/>
            </w:pPr>
            <w:r>
              <w:rPr>
                <w:rFonts w:ascii="Times New Roman" w:hAnsi="Times New Roman"/>
                <w:sz w:val="16"/>
              </w:rPr>
            </w:r>
            <w:r>
              <w:rPr>
                <w:rFonts w:ascii="Times New Roman" w:hAnsi="Times New Roman"/>
                <w:b w:val="0"/>
                <w:sz w:val="16"/>
              </w:rPr>
              <w:t>Parameters</w:t>
            </w:r>
          </w:p>
        </w:tc>
        <w:tc>
          <w:tcPr>
            <w:tcW w:type="dxa" w:w="1448"/>
          </w:tcPr>
          <w:p>
            <w:pPr>
              <w:spacing w:before="20" w:after="20"/>
              <w:jc w:val="center"/>
            </w:pPr>
            <w:r>
              <w:rPr>
                <w:rFonts w:ascii="Times New Roman" w:hAnsi="Times New Roman"/>
                <w:sz w:val="16"/>
              </w:rPr>
            </w:r>
            <w:r>
              <w:rPr>
                <w:rFonts w:ascii="Times New Roman" w:hAnsi="Times New Roman"/>
                <w:b w:val="0"/>
                <w:sz w:val="16"/>
              </w:rPr>
              <w:t>11.18M</w:t>
            </w:r>
          </w:p>
        </w:tc>
        <w:tc>
          <w:tcPr>
            <w:tcW w:type="dxa" w:w="1449"/>
          </w:tcPr>
          <w:p>
            <w:pPr>
              <w:spacing w:before="20" w:after="20"/>
              <w:jc w:val="center"/>
            </w:pPr>
            <w:r>
              <w:rPr>
                <w:rFonts w:ascii="Times New Roman" w:hAnsi="Times New Roman"/>
                <w:sz w:val="16"/>
              </w:rPr>
            </w:r>
            <w:r>
              <w:rPr>
                <w:rFonts w:ascii="Times New Roman" w:hAnsi="Times New Roman"/>
                <w:b w:val="0"/>
                <w:sz w:val="16"/>
              </w:rPr>
              <w:t>23.52M</w:t>
            </w:r>
          </w:p>
        </w:tc>
      </w:tr>
      <w:tr>
        <w:tc>
          <w:tcPr>
            <w:tcW w:type="dxa" w:w="2028"/>
          </w:tcPr>
          <w:p>
            <w:pPr>
              <w:spacing w:before="20" w:after="20"/>
              <w:jc w:val="left"/>
            </w:pPr>
            <w:r>
              <w:rPr>
                <w:rFonts w:ascii="Times New Roman" w:hAnsi="Times New Roman"/>
                <w:sz w:val="16"/>
              </w:rPr>
            </w:r>
            <w:r>
              <w:rPr>
                <w:rFonts w:ascii="Times New Roman" w:hAnsi="Times New Roman"/>
                <w:b w:val="0"/>
                <w:sz w:val="16"/>
              </w:rPr>
              <w:t>Macro F1</w:t>
            </w:r>
          </w:p>
        </w:tc>
        <w:tc>
          <w:tcPr>
            <w:tcW w:type="dxa" w:w="1448"/>
          </w:tcPr>
          <w:p>
            <w:pPr>
              <w:spacing w:before="20" w:after="20"/>
              <w:jc w:val="center"/>
            </w:pPr>
            <w:r>
              <w:rPr>
                <w:rFonts w:ascii="Times New Roman" w:hAnsi="Times New Roman"/>
                <w:sz w:val="16"/>
              </w:rPr>
            </w:r>
            <w:r>
              <w:rPr>
                <w:rFonts w:ascii="Times New Roman" w:hAnsi="Times New Roman"/>
                <w:b w:val="0"/>
                <w:sz w:val="16"/>
              </w:rPr>
              <w:t>0.9587</w:t>
            </w:r>
          </w:p>
        </w:tc>
        <w:tc>
          <w:tcPr>
            <w:tcW w:type="dxa" w:w="1449"/>
          </w:tcPr>
          <w:p>
            <w:pPr>
              <w:spacing w:before="20" w:after="20"/>
              <w:jc w:val="center"/>
            </w:pPr>
            <w:r>
              <w:rPr>
                <w:rFonts w:ascii="Times New Roman" w:hAnsi="Times New Roman"/>
                <w:sz w:val="16"/>
              </w:rPr>
            </w:r>
            <w:r>
              <w:rPr>
                <w:rFonts w:ascii="Times New Roman" w:hAnsi="Times New Roman"/>
                <w:b w:val="0"/>
                <w:sz w:val="16"/>
              </w:rPr>
              <w:t>0.9576</w:t>
            </w:r>
          </w:p>
        </w:tc>
      </w:tr>
      <w:tr>
        <w:tc>
          <w:tcPr>
            <w:tcW w:type="dxa" w:w="2028"/>
          </w:tcPr>
          <w:p>
            <w:pPr>
              <w:spacing w:before="20" w:after="20"/>
              <w:jc w:val="left"/>
            </w:pPr>
            <w:r>
              <w:rPr>
                <w:rFonts w:ascii="Times New Roman" w:hAnsi="Times New Roman"/>
                <w:sz w:val="16"/>
              </w:rPr>
            </w:r>
            <w:r>
              <w:rPr>
                <w:rFonts w:ascii="Times New Roman" w:hAnsi="Times New Roman"/>
                <w:b w:val="0"/>
                <w:sz w:val="16"/>
              </w:rPr>
              <w:t>Accuracy</w:t>
            </w:r>
          </w:p>
        </w:tc>
        <w:tc>
          <w:tcPr>
            <w:tcW w:type="dxa" w:w="1448"/>
          </w:tcPr>
          <w:p>
            <w:pPr>
              <w:spacing w:before="20" w:after="20"/>
              <w:jc w:val="center"/>
            </w:pPr>
            <w:r>
              <w:rPr>
                <w:rFonts w:ascii="Times New Roman" w:hAnsi="Times New Roman"/>
                <w:sz w:val="16"/>
              </w:rPr>
            </w:r>
            <w:r>
              <w:rPr>
                <w:rFonts w:ascii="Times New Roman" w:hAnsi="Times New Roman"/>
                <w:b w:val="0"/>
                <w:sz w:val="16"/>
              </w:rPr>
              <w:t>0.9524</w:t>
            </w:r>
          </w:p>
        </w:tc>
        <w:tc>
          <w:tcPr>
            <w:tcW w:type="dxa" w:w="1449"/>
          </w:tcPr>
          <w:p>
            <w:pPr>
              <w:spacing w:before="20" w:after="20"/>
              <w:jc w:val="center"/>
            </w:pPr>
            <w:r>
              <w:rPr>
                <w:rFonts w:ascii="Times New Roman" w:hAnsi="Times New Roman"/>
                <w:sz w:val="16"/>
              </w:rPr>
            </w:r>
            <w:r>
              <w:rPr>
                <w:rFonts w:ascii="Times New Roman" w:hAnsi="Times New Roman"/>
                <w:b w:val="0"/>
                <w:sz w:val="16"/>
              </w:rPr>
              <w:t>0.9512</w:t>
            </w:r>
          </w:p>
        </w:tc>
      </w:tr>
      <w:tr>
        <w:tc>
          <w:tcPr>
            <w:tcW w:type="dxa" w:w="2028"/>
          </w:tcPr>
          <w:p>
            <w:pPr>
              <w:spacing w:before="20" w:after="20"/>
              <w:jc w:val="left"/>
            </w:pPr>
            <w:r>
              <w:rPr>
                <w:rFonts w:ascii="Times New Roman" w:hAnsi="Times New Roman"/>
                <w:sz w:val="16"/>
              </w:rPr>
            </w:r>
            <w:r>
              <w:rPr>
                <w:rFonts w:ascii="Times New Roman" w:hAnsi="Times New Roman"/>
                <w:b w:val="0"/>
                <w:sz w:val="16"/>
              </w:rPr>
              <w:t>Macro AUC</w:t>
            </w:r>
          </w:p>
        </w:tc>
        <w:tc>
          <w:tcPr>
            <w:tcW w:type="dxa" w:w="1448"/>
          </w:tcPr>
          <w:p>
            <w:pPr>
              <w:spacing w:before="20" w:after="20"/>
              <w:jc w:val="center"/>
            </w:pPr>
            <w:r>
              <w:rPr>
                <w:rFonts w:ascii="Times New Roman" w:hAnsi="Times New Roman"/>
                <w:sz w:val="16"/>
              </w:rPr>
            </w:r>
            <w:r>
              <w:rPr>
                <w:rFonts w:ascii="Times New Roman" w:hAnsi="Times New Roman"/>
                <w:b w:val="0"/>
                <w:sz w:val="16"/>
              </w:rPr>
              <w:t>0.9928</w:t>
            </w:r>
          </w:p>
        </w:tc>
        <w:tc>
          <w:tcPr>
            <w:tcW w:type="dxa" w:w="1449"/>
          </w:tcPr>
          <w:p>
            <w:pPr>
              <w:spacing w:before="20" w:after="20"/>
              <w:jc w:val="center"/>
            </w:pPr>
            <w:r>
              <w:rPr>
                <w:rFonts w:ascii="Times New Roman" w:hAnsi="Times New Roman"/>
                <w:sz w:val="16"/>
              </w:rPr>
            </w:r>
            <w:r>
              <w:rPr>
                <w:rFonts w:ascii="Times New Roman" w:hAnsi="Times New Roman"/>
                <w:b w:val="0"/>
                <w:sz w:val="16"/>
              </w:rPr>
              <w:t>0.9937</w:t>
            </w:r>
          </w:p>
        </w:tc>
      </w:tr>
      <w:tr>
        <w:tc>
          <w:tcPr>
            <w:tcW w:type="dxa" w:w="2028"/>
          </w:tcPr>
          <w:p>
            <w:pPr>
              <w:spacing w:before="20" w:after="20"/>
              <w:jc w:val="left"/>
            </w:pPr>
            <w:r>
              <w:rPr>
                <w:rFonts w:ascii="Times New Roman" w:hAnsi="Times New Roman"/>
                <w:sz w:val="16"/>
              </w:rPr>
            </w:r>
            <w:r>
              <w:rPr>
                <w:rFonts w:ascii="Times New Roman" w:hAnsi="Times New Roman"/>
                <w:b w:val="0"/>
                <w:sz w:val="16"/>
              </w:rPr>
              <w:t>Macro precision</w:t>
            </w:r>
          </w:p>
        </w:tc>
        <w:tc>
          <w:tcPr>
            <w:tcW w:type="dxa" w:w="1448"/>
          </w:tcPr>
          <w:p>
            <w:pPr>
              <w:spacing w:before="20" w:after="20"/>
              <w:jc w:val="center"/>
            </w:pPr>
            <w:r>
              <w:rPr>
                <w:rFonts w:ascii="Times New Roman" w:hAnsi="Times New Roman"/>
                <w:sz w:val="16"/>
              </w:rPr>
            </w:r>
            <w:r>
              <w:rPr>
                <w:rFonts w:ascii="Times New Roman" w:hAnsi="Times New Roman"/>
                <w:b w:val="0"/>
                <w:sz w:val="16"/>
              </w:rPr>
              <w:t>0.9640</w:t>
            </w:r>
          </w:p>
        </w:tc>
        <w:tc>
          <w:tcPr>
            <w:tcW w:type="dxa" w:w="1449"/>
          </w:tcPr>
          <w:p>
            <w:pPr>
              <w:spacing w:before="20" w:after="20"/>
              <w:jc w:val="center"/>
            </w:pPr>
            <w:r>
              <w:rPr>
                <w:rFonts w:ascii="Times New Roman" w:hAnsi="Times New Roman"/>
                <w:sz w:val="16"/>
              </w:rPr>
            </w:r>
            <w:r>
              <w:rPr>
                <w:rFonts w:ascii="Times New Roman" w:hAnsi="Times New Roman"/>
                <w:b w:val="0"/>
                <w:sz w:val="16"/>
              </w:rPr>
              <w:t>0.9630</w:t>
            </w:r>
          </w:p>
        </w:tc>
      </w:tr>
      <w:tr>
        <w:tc>
          <w:tcPr>
            <w:tcW w:type="dxa" w:w="2028"/>
          </w:tcPr>
          <w:p>
            <w:pPr>
              <w:spacing w:before="20" w:after="20"/>
              <w:jc w:val="left"/>
            </w:pPr>
            <w:r>
              <w:rPr>
                <w:rFonts w:ascii="Times New Roman" w:hAnsi="Times New Roman"/>
                <w:sz w:val="16"/>
              </w:rPr>
            </w:r>
            <w:r>
              <w:rPr>
                <w:rFonts w:ascii="Times New Roman" w:hAnsi="Times New Roman"/>
                <w:b w:val="0"/>
                <w:sz w:val="16"/>
              </w:rPr>
              <w:t>Macro recall</w:t>
            </w:r>
          </w:p>
        </w:tc>
        <w:tc>
          <w:tcPr>
            <w:tcW w:type="dxa" w:w="1448"/>
          </w:tcPr>
          <w:p>
            <w:pPr>
              <w:spacing w:before="20" w:after="20"/>
              <w:jc w:val="center"/>
            </w:pPr>
            <w:r>
              <w:rPr>
                <w:rFonts w:ascii="Times New Roman" w:hAnsi="Times New Roman"/>
                <w:sz w:val="16"/>
              </w:rPr>
            </w:r>
            <w:r>
              <w:rPr>
                <w:rFonts w:ascii="Times New Roman" w:hAnsi="Times New Roman"/>
                <w:b w:val="0"/>
                <w:sz w:val="16"/>
              </w:rPr>
              <w:t>0.9536</w:t>
            </w:r>
          </w:p>
        </w:tc>
        <w:tc>
          <w:tcPr>
            <w:tcW w:type="dxa" w:w="1449"/>
          </w:tcPr>
          <w:p>
            <w:pPr>
              <w:spacing w:before="20" w:after="20"/>
              <w:jc w:val="center"/>
            </w:pPr>
            <w:r>
              <w:rPr>
                <w:rFonts w:ascii="Times New Roman" w:hAnsi="Times New Roman"/>
                <w:sz w:val="16"/>
              </w:rPr>
            </w:r>
            <w:r>
              <w:rPr>
                <w:rFonts w:ascii="Times New Roman" w:hAnsi="Times New Roman"/>
                <w:b w:val="0"/>
                <w:sz w:val="16"/>
              </w:rPr>
              <w:t>0.9527</w:t>
            </w:r>
          </w:p>
        </w:tc>
      </w:tr>
    </w:tbl>
    <w:p>
      <w:pPr>
        <w:pStyle w:val="Text"/>
        <w:spacing w:after="80"/>
      </w:pPr>
    </w:p>
    <w:p>
      <w:pPr>
        <w:pStyle w:val="Text"/>
      </w:pPr>
      <w:r>
        <w:rPr>
          <w:rFonts w:ascii="Times New Roman" w:hAnsi="Times New Roman"/>
          <w:b/>
        </w:rPr>
        <w:t>These are single runs at seed 42</w:t>
      </w:r>
      <w:r>
        <w:rPr>
          <w:rFonts w:ascii="Times New Roman" w:hAnsi="Times New Roman"/>
          <w:b w:val="0"/>
        </w:rPr>
        <w:t>, and are the checkpoints every subsequent section analyses. Section 4.2 reports three seeds per backbone and should be consulted before any two numbers here are compared: the run-to-run spread is larger than the difference between the columns.</w:t>
      </w:r>
    </w:p>
    <w:p>
      <w:pPr>
        <w:pStyle w:val="TableCaption"/>
        <w:spacing w:before="120" w:after="40"/>
        <w:jc w:val="center"/>
      </w:pPr>
      <w:r>
        <w:rPr>
          <w:rFonts w:ascii="Times New Roman" w:hAnsi="Times New Roman"/>
          <w:b/>
          <w:sz w:val="18"/>
        </w:rPr>
        <w:t>Table 3: Per-class precision / recall / F1 / AUC</w:t>
      </w:r>
    </w:p>
    <w:tbl>
      <w:tblPr>
        <w:tblStyle w:val="TableGrid"/>
        <w:tblW w:type="dxa" w:w="4925"/>
        <w:tblLayout w:type="fixed"/>
        <w:tblLook w:firstColumn="1" w:firstRow="1" w:lastColumn="0" w:lastRow="0" w:noHBand="0" w:noVBand="1" w:val="04A0"/>
      </w:tblPr>
      <w:tblGrid>
        <w:gridCol w:w="1440"/>
        <w:gridCol w:w="1742"/>
        <w:gridCol w:w="1743"/>
      </w:tblGrid>
      <w:tr>
        <w:tc>
          <w:tcPr>
            <w:tcW w:type="dxa" w:w="1440"/>
          </w:tcPr>
          <w:p>
            <w:pPr>
              <w:spacing w:before="20" w:after="20"/>
              <w:jc w:val="center"/>
            </w:pPr>
            <w:r>
              <w:rPr>
                <w:rFonts w:ascii="Times New Roman" w:hAnsi="Times New Roman"/>
                <w:b/>
                <w:sz w:val="15"/>
              </w:rPr>
            </w:r>
            <w:r>
              <w:rPr>
                <w:rFonts w:ascii="Times New Roman" w:hAnsi="Times New Roman"/>
                <w:b/>
                <w:sz w:val="15"/>
              </w:rPr>
              <w:t>Class</w:t>
            </w:r>
          </w:p>
        </w:tc>
        <w:tc>
          <w:tcPr>
            <w:tcW w:type="dxa" w:w="1742"/>
          </w:tcPr>
          <w:p>
            <w:pPr>
              <w:spacing w:before="20" w:after="20"/>
              <w:jc w:val="center"/>
            </w:pPr>
            <w:r>
              <w:rPr>
                <w:rFonts w:ascii="Times New Roman" w:hAnsi="Times New Roman"/>
                <w:b/>
                <w:sz w:val="15"/>
              </w:rPr>
            </w:r>
            <w:r>
              <w:rPr>
                <w:rFonts w:ascii="Times New Roman" w:hAnsi="Times New Roman"/>
                <w:b/>
                <w:sz w:val="15"/>
              </w:rPr>
              <w:t>ResNet18</w:t>
            </w:r>
          </w:p>
        </w:tc>
        <w:tc>
          <w:tcPr>
            <w:tcW w:type="dxa" w:w="1743"/>
          </w:tcPr>
          <w:p>
            <w:pPr>
              <w:spacing w:before="20" w:after="20"/>
              <w:jc w:val="center"/>
            </w:pPr>
            <w:r>
              <w:rPr>
                <w:rFonts w:ascii="Times New Roman" w:hAnsi="Times New Roman"/>
                <w:b/>
                <w:sz w:val="15"/>
              </w:rPr>
            </w:r>
            <w:r>
              <w:rPr>
                <w:rFonts w:ascii="Times New Roman" w:hAnsi="Times New Roman"/>
                <w:b/>
                <w:sz w:val="15"/>
              </w:rPr>
              <w:t>ResNet50</w:t>
            </w:r>
          </w:p>
        </w:tc>
      </w:tr>
      <w:tr>
        <w:tc>
          <w:tcPr>
            <w:tcW w:type="dxa" w:w="1440"/>
          </w:tcPr>
          <w:p>
            <w:pPr>
              <w:spacing w:before="20" w:after="20"/>
              <w:jc w:val="left"/>
            </w:pPr>
            <w:r>
              <w:rPr>
                <w:rFonts w:ascii="Times New Roman" w:hAnsi="Times New Roman"/>
                <w:sz w:val="15"/>
              </w:rPr>
            </w:r>
            <w:r>
              <w:rPr>
                <w:rFonts w:ascii="Times New Roman" w:hAnsi="Times New Roman"/>
                <w:b w:val="0"/>
                <w:sz w:val="15"/>
              </w:rPr>
              <w:t>COVID19</w:t>
            </w:r>
          </w:p>
        </w:tc>
        <w:tc>
          <w:tcPr>
            <w:tcW w:type="dxa" w:w="1742"/>
          </w:tcPr>
          <w:p>
            <w:pPr>
              <w:spacing w:before="20" w:after="20"/>
              <w:jc w:val="center"/>
            </w:pPr>
            <w:r>
              <w:rPr>
                <w:rFonts w:ascii="Times New Roman" w:hAnsi="Times New Roman"/>
                <w:sz w:val="15"/>
              </w:rPr>
            </w:r>
            <w:r>
              <w:rPr>
                <w:rFonts w:ascii="Times New Roman" w:hAnsi="Times New Roman"/>
                <w:b w:val="0"/>
                <w:sz w:val="15"/>
              </w:rPr>
              <w:t>.989 / .976 / .982 / .9993</w:t>
            </w:r>
          </w:p>
        </w:tc>
        <w:tc>
          <w:tcPr>
            <w:tcW w:type="dxa" w:w="1743"/>
          </w:tcPr>
          <w:p>
            <w:pPr>
              <w:spacing w:before="20" w:after="20"/>
              <w:jc w:val="center"/>
            </w:pPr>
            <w:r>
              <w:rPr>
                <w:rFonts w:ascii="Times New Roman" w:hAnsi="Times New Roman"/>
                <w:sz w:val="15"/>
              </w:rPr>
            </w:r>
            <w:r>
              <w:rPr>
                <w:rFonts w:ascii="Times New Roman" w:hAnsi="Times New Roman"/>
                <w:b w:val="0"/>
                <w:sz w:val="15"/>
              </w:rPr>
              <w:t>.985 / .980 / .982 / .9991</w:t>
            </w:r>
          </w:p>
        </w:tc>
      </w:tr>
      <w:tr>
        <w:tc>
          <w:tcPr>
            <w:tcW w:type="dxa" w:w="1440"/>
          </w:tcPr>
          <w:p>
            <w:pPr>
              <w:spacing w:before="20" w:after="20"/>
              <w:jc w:val="left"/>
            </w:pPr>
            <w:r>
              <w:rPr>
                <w:rFonts w:ascii="Times New Roman" w:hAnsi="Times New Roman"/>
                <w:sz w:val="15"/>
              </w:rPr>
            </w:r>
            <w:r>
              <w:rPr>
                <w:rFonts w:ascii="Times New Roman" w:hAnsi="Times New Roman"/>
                <w:b w:val="0"/>
                <w:sz w:val="15"/>
              </w:rPr>
              <w:t>LUNG_OPACITY</w:t>
            </w:r>
          </w:p>
        </w:tc>
        <w:tc>
          <w:tcPr>
            <w:tcW w:type="dxa" w:w="1742"/>
          </w:tcPr>
          <w:p>
            <w:pPr>
              <w:spacing w:before="20" w:after="20"/>
              <w:jc w:val="center"/>
            </w:pPr>
            <w:r>
              <w:rPr>
                <w:rFonts w:ascii="Times New Roman" w:hAnsi="Times New Roman"/>
                <w:sz w:val="15"/>
              </w:rPr>
            </w:r>
            <w:r>
              <w:rPr>
                <w:rFonts w:ascii="Times New Roman" w:hAnsi="Times New Roman"/>
                <w:b w:val="0"/>
                <w:sz w:val="15"/>
              </w:rPr>
              <w:t>.939 / .920 / .929 / .9858</w:t>
            </w:r>
          </w:p>
        </w:tc>
        <w:tc>
          <w:tcPr>
            <w:tcW w:type="dxa" w:w="1743"/>
          </w:tcPr>
          <w:p>
            <w:pPr>
              <w:spacing w:before="20" w:after="20"/>
              <w:jc w:val="center"/>
            </w:pPr>
            <w:r>
              <w:rPr>
                <w:rFonts w:ascii="Times New Roman" w:hAnsi="Times New Roman"/>
                <w:sz w:val="15"/>
              </w:rPr>
            </w:r>
            <w:r>
              <w:rPr>
                <w:rFonts w:ascii="Times New Roman" w:hAnsi="Times New Roman"/>
                <w:b w:val="0"/>
                <w:sz w:val="15"/>
              </w:rPr>
              <w:t>.951 / .901 / .925 / .9887</w:t>
            </w:r>
          </w:p>
        </w:tc>
      </w:tr>
      <w:tr>
        <w:tc>
          <w:tcPr>
            <w:tcW w:type="dxa" w:w="1440"/>
          </w:tcPr>
          <w:p>
            <w:pPr>
              <w:spacing w:before="20" w:after="20"/>
              <w:jc w:val="left"/>
            </w:pPr>
            <w:r>
              <w:rPr>
                <w:rFonts w:ascii="Times New Roman" w:hAnsi="Times New Roman"/>
                <w:sz w:val="15"/>
              </w:rPr>
            </w:r>
            <w:r>
              <w:rPr>
                <w:rFonts w:ascii="Times New Roman" w:hAnsi="Times New Roman"/>
                <w:b w:val="0"/>
                <w:sz w:val="15"/>
              </w:rPr>
              <w:t>NORMAL</w:t>
            </w:r>
          </w:p>
        </w:tc>
        <w:tc>
          <w:tcPr>
            <w:tcW w:type="dxa" w:w="1742"/>
          </w:tcPr>
          <w:p>
            <w:pPr>
              <w:spacing w:before="20" w:after="20"/>
              <w:jc w:val="center"/>
            </w:pPr>
            <w:r>
              <w:rPr>
                <w:rFonts w:ascii="Times New Roman" w:hAnsi="Times New Roman"/>
                <w:sz w:val="15"/>
              </w:rPr>
            </w:r>
            <w:r>
              <w:rPr>
                <w:rFonts w:ascii="Times New Roman" w:hAnsi="Times New Roman"/>
                <w:b w:val="0"/>
                <w:sz w:val="15"/>
              </w:rPr>
              <w:t>.944 / .963 / .953 / .9870</w:t>
            </w:r>
          </w:p>
        </w:tc>
        <w:tc>
          <w:tcPr>
            <w:tcW w:type="dxa" w:w="1743"/>
          </w:tcPr>
          <w:p>
            <w:pPr>
              <w:spacing w:before="20" w:after="20"/>
              <w:jc w:val="center"/>
            </w:pPr>
            <w:r>
              <w:rPr>
                <w:rFonts w:ascii="Times New Roman" w:hAnsi="Times New Roman"/>
                <w:sz w:val="15"/>
              </w:rPr>
            </w:r>
            <w:r>
              <w:rPr>
                <w:rFonts w:ascii="Times New Roman" w:hAnsi="Times New Roman"/>
                <w:b w:val="0"/>
                <w:sz w:val="15"/>
              </w:rPr>
              <w:t>.936 / .969 / .952 / .9873</w:t>
            </w:r>
          </w:p>
        </w:tc>
      </w:tr>
      <w:tr>
        <w:tc>
          <w:tcPr>
            <w:tcW w:type="dxa" w:w="1440"/>
          </w:tcPr>
          <w:p>
            <w:pPr>
              <w:spacing w:before="20" w:after="20"/>
              <w:jc w:val="left"/>
            </w:pPr>
            <w:r>
              <w:rPr>
                <w:rFonts w:ascii="Times New Roman" w:hAnsi="Times New Roman"/>
                <w:sz w:val="15"/>
              </w:rPr>
            </w:r>
            <w:r>
              <w:rPr>
                <w:rFonts w:ascii="Times New Roman" w:hAnsi="Times New Roman"/>
                <w:b w:val="0"/>
                <w:sz w:val="15"/>
              </w:rPr>
              <w:t>PNEUMONIA</w:t>
            </w:r>
          </w:p>
        </w:tc>
        <w:tc>
          <w:tcPr>
            <w:tcW w:type="dxa" w:w="1742"/>
          </w:tcPr>
          <w:p>
            <w:pPr>
              <w:spacing w:before="20" w:after="20"/>
              <w:jc w:val="center"/>
            </w:pPr>
            <w:r>
              <w:rPr>
                <w:rFonts w:ascii="Times New Roman" w:hAnsi="Times New Roman"/>
                <w:sz w:val="15"/>
              </w:rPr>
            </w:r>
            <w:r>
              <w:rPr>
                <w:rFonts w:ascii="Times New Roman" w:hAnsi="Times New Roman"/>
                <w:b w:val="0"/>
                <w:sz w:val="15"/>
              </w:rPr>
              <w:t>.985 / .955 / .970 / .9992</w:t>
            </w:r>
          </w:p>
        </w:tc>
        <w:tc>
          <w:tcPr>
            <w:tcW w:type="dxa" w:w="1743"/>
          </w:tcPr>
          <w:p>
            <w:pPr>
              <w:spacing w:before="20" w:after="20"/>
              <w:jc w:val="center"/>
            </w:pPr>
            <w:r>
              <w:rPr>
                <w:rFonts w:ascii="Times New Roman" w:hAnsi="Times New Roman"/>
                <w:sz w:val="15"/>
              </w:rPr>
            </w:r>
            <w:r>
              <w:rPr>
                <w:rFonts w:ascii="Times New Roman" w:hAnsi="Times New Roman"/>
                <w:b w:val="0"/>
                <w:sz w:val="15"/>
              </w:rPr>
              <w:t>.980 / .960 / .970 / .9995</w:t>
            </w:r>
          </w:p>
        </w:tc>
      </w:tr>
    </w:tbl>
    <w:p>
      <w:pPr>
        <w:pStyle w:val="Text"/>
        <w:spacing w:after="80"/>
      </w:pPr>
    </w:p>
    <w:p>
      <w:pPr>
        <w:pStyle w:val="Text"/>
      </w:pPr>
      <w:r>
        <w:rPr>
          <w:rFonts w:ascii="Times New Roman" w:hAnsi="Times New Roman"/>
          <w:b w:val="0"/>
        </w:rPr>
        <w:t xml:space="preserve">These figures are comparable to published results on this dataset. </w:t>
      </w:r>
      <w:r>
        <w:rPr>
          <w:rFonts w:ascii="Times New Roman" w:hAnsi="Times New Roman"/>
          <w:b/>
        </w:rPr>
        <w:t>They should not be quoted without Section 4.5</w:t>
      </w:r>
      <w:r>
        <w:rPr>
          <w:rFonts w:ascii="Times New Roman" w:hAnsi="Times New Roman"/>
          <w:b w:val="0"/>
        </w:rPr>
        <w:t>, which establishes that the classes are separable by source archive. Lung opacity is the weakest class under both backbones, and the confusion is almost entirely with NORMAL.</w:t>
      </w:r>
    </w:p>
    <w:p>
      <w:pPr>
        <w:pStyle w:val="Heading2"/>
        <w:jc w:val="left"/>
      </w:pPr>
      <w:r>
        <w:rPr>
          <w:rFonts w:ascii="Times New Roman" w:hAnsi="Times New Roman"/>
          <w:b/>
          <w:sz w:val="21"/>
        </w:rPr>
        <w:t>4.2 Capacity Ablation and Seed Variance</w:t>
      </w:r>
    </w:p>
    <w:p>
      <w:pPr>
        <w:pStyle w:val="Text"/>
      </w:pPr>
      <w:r>
        <w:rPr>
          <w:rFonts w:ascii="Times New Roman" w:hAnsi="Times New Roman"/>
          <w:b w:val="0"/>
        </w:rPr>
        <w:t>Each configuration was trained three times under the identical recipe, varying only the seed, which governs head initialisation, sampler draws and augmentation order. The split is fixed on disk and is not resampled, so this is training-run variance on one partition.</w:t>
      </w:r>
    </w:p>
    <w:p>
      <w:pPr>
        <w:pStyle w:val="TableCaption"/>
        <w:spacing w:before="120" w:after="40"/>
        <w:jc w:val="center"/>
      </w:pPr>
      <w:r>
        <w:rPr>
          <w:rFonts w:ascii="Times New Roman" w:hAnsi="Times New Roman"/>
          <w:b/>
          <w:sz w:val="18"/>
        </w:rPr>
        <w:t>Table 4: Three seeds per backbone, macro F1 on test</w:t>
      </w:r>
    </w:p>
    <w:tbl>
      <w:tblPr>
        <w:tblStyle w:val="TableGrid"/>
        <w:tblW w:type="dxa" w:w="4925"/>
        <w:tblLayout w:type="fixed"/>
        <w:tblLook w:firstColumn="1" w:firstRow="1" w:lastColumn="0" w:lastRow="0" w:noHBand="0" w:noVBand="1" w:val="04A0"/>
      </w:tblPr>
      <w:tblGrid>
        <w:gridCol w:w="2028"/>
        <w:gridCol w:w="1448"/>
        <w:gridCol w:w="1449"/>
      </w:tblGrid>
      <w:tr>
        <w:tc>
          <w:tcPr>
            <w:tcW w:type="dxa" w:w="2028"/>
          </w:tcPr>
          <w:p>
            <w:pPr>
              <w:spacing w:before="20" w:after="20"/>
              <w:jc w:val="center"/>
            </w:pPr>
            <w:r>
              <w:rPr>
                <w:rFonts w:ascii="Times New Roman" w:hAnsi="Times New Roman"/>
                <w:b/>
                <w:sz w:val="16"/>
              </w:rPr>
            </w:r>
            <w:r>
              <w:rPr>
                <w:rFonts w:ascii="Times New Roman" w:hAnsi="Times New Roman"/>
                <w:b/>
                <w:sz w:val="16"/>
              </w:rPr>
              <w:t>Statistic</w:t>
            </w:r>
          </w:p>
        </w:tc>
        <w:tc>
          <w:tcPr>
            <w:tcW w:type="dxa" w:w="1448"/>
          </w:tcPr>
          <w:p>
            <w:pPr>
              <w:spacing w:before="20" w:after="20"/>
              <w:jc w:val="center"/>
            </w:pPr>
            <w:r>
              <w:rPr>
                <w:rFonts w:ascii="Times New Roman" w:hAnsi="Times New Roman"/>
                <w:b/>
                <w:sz w:val="16"/>
              </w:rPr>
            </w:r>
            <w:r>
              <w:rPr>
                <w:rFonts w:ascii="Times New Roman" w:hAnsi="Times New Roman"/>
                <w:b/>
                <w:sz w:val="16"/>
              </w:rPr>
              <w:t>ResNet18</w:t>
            </w:r>
          </w:p>
        </w:tc>
        <w:tc>
          <w:tcPr>
            <w:tcW w:type="dxa" w:w="1449"/>
          </w:tcPr>
          <w:p>
            <w:pPr>
              <w:spacing w:before="20" w:after="20"/>
              <w:jc w:val="center"/>
            </w:pPr>
            <w:r>
              <w:rPr>
                <w:rFonts w:ascii="Times New Roman" w:hAnsi="Times New Roman"/>
                <w:b/>
                <w:sz w:val="16"/>
              </w:rPr>
            </w:r>
            <w:r>
              <w:rPr>
                <w:rFonts w:ascii="Times New Roman" w:hAnsi="Times New Roman"/>
                <w:b/>
                <w:sz w:val="16"/>
              </w:rPr>
              <w:t>ResNet50</w:t>
            </w:r>
          </w:p>
        </w:tc>
      </w:tr>
      <w:tr>
        <w:tc>
          <w:tcPr>
            <w:tcW w:type="dxa" w:w="2028"/>
          </w:tcPr>
          <w:p>
            <w:pPr>
              <w:spacing w:before="20" w:after="20"/>
              <w:jc w:val="left"/>
            </w:pPr>
            <w:r>
              <w:rPr>
                <w:rFonts w:ascii="Times New Roman" w:hAnsi="Times New Roman"/>
                <w:sz w:val="16"/>
              </w:rPr>
            </w:r>
            <w:r>
              <w:rPr>
                <w:rFonts w:ascii="Times New Roman" w:hAnsi="Times New Roman"/>
                <w:b w:val="0"/>
                <w:sz w:val="16"/>
              </w:rPr>
              <w:t>seed 42</w:t>
            </w:r>
          </w:p>
        </w:tc>
        <w:tc>
          <w:tcPr>
            <w:tcW w:type="dxa" w:w="1448"/>
          </w:tcPr>
          <w:p>
            <w:pPr>
              <w:spacing w:before="20" w:after="20"/>
              <w:jc w:val="center"/>
            </w:pPr>
            <w:r>
              <w:rPr>
                <w:rFonts w:ascii="Times New Roman" w:hAnsi="Times New Roman"/>
                <w:sz w:val="16"/>
              </w:rPr>
            </w:r>
            <w:r>
              <w:rPr>
                <w:rFonts w:ascii="Times New Roman" w:hAnsi="Times New Roman"/>
                <w:b w:val="0"/>
                <w:sz w:val="16"/>
              </w:rPr>
              <w:t>0.9587</w:t>
            </w:r>
          </w:p>
        </w:tc>
        <w:tc>
          <w:tcPr>
            <w:tcW w:type="dxa" w:w="1449"/>
          </w:tcPr>
          <w:p>
            <w:pPr>
              <w:spacing w:before="20" w:after="20"/>
              <w:jc w:val="center"/>
            </w:pPr>
            <w:r>
              <w:rPr>
                <w:rFonts w:ascii="Times New Roman" w:hAnsi="Times New Roman"/>
                <w:sz w:val="16"/>
              </w:rPr>
            </w:r>
            <w:r>
              <w:rPr>
                <w:rFonts w:ascii="Times New Roman" w:hAnsi="Times New Roman"/>
                <w:b w:val="0"/>
                <w:sz w:val="16"/>
              </w:rPr>
              <w:t>0.9576</w:t>
            </w:r>
          </w:p>
        </w:tc>
      </w:tr>
      <w:tr>
        <w:tc>
          <w:tcPr>
            <w:tcW w:type="dxa" w:w="2028"/>
          </w:tcPr>
          <w:p>
            <w:pPr>
              <w:spacing w:before="20" w:after="20"/>
              <w:jc w:val="left"/>
            </w:pPr>
            <w:r>
              <w:rPr>
                <w:rFonts w:ascii="Times New Roman" w:hAnsi="Times New Roman"/>
                <w:sz w:val="16"/>
              </w:rPr>
            </w:r>
            <w:r>
              <w:rPr>
                <w:rFonts w:ascii="Times New Roman" w:hAnsi="Times New Roman"/>
                <w:b w:val="0"/>
                <w:sz w:val="16"/>
              </w:rPr>
              <w:t>seed 1</w:t>
            </w:r>
          </w:p>
        </w:tc>
        <w:tc>
          <w:tcPr>
            <w:tcW w:type="dxa" w:w="1448"/>
          </w:tcPr>
          <w:p>
            <w:pPr>
              <w:spacing w:before="20" w:after="20"/>
              <w:jc w:val="center"/>
            </w:pPr>
            <w:r>
              <w:rPr>
                <w:rFonts w:ascii="Times New Roman" w:hAnsi="Times New Roman"/>
                <w:sz w:val="16"/>
              </w:rPr>
            </w:r>
            <w:r>
              <w:rPr>
                <w:rFonts w:ascii="Times New Roman" w:hAnsi="Times New Roman"/>
                <w:b w:val="0"/>
                <w:sz w:val="16"/>
              </w:rPr>
              <w:t>0.9570</w:t>
            </w:r>
          </w:p>
        </w:tc>
        <w:tc>
          <w:tcPr>
            <w:tcW w:type="dxa" w:w="1449"/>
          </w:tcPr>
          <w:p>
            <w:pPr>
              <w:spacing w:before="20" w:after="20"/>
              <w:jc w:val="center"/>
            </w:pPr>
            <w:r>
              <w:rPr>
                <w:rFonts w:ascii="Times New Roman" w:hAnsi="Times New Roman"/>
                <w:sz w:val="16"/>
              </w:rPr>
            </w:r>
            <w:r>
              <w:rPr>
                <w:rFonts w:ascii="Times New Roman" w:hAnsi="Times New Roman"/>
                <w:b w:val="0"/>
                <w:sz w:val="16"/>
              </w:rPr>
              <w:t>0.9510</w:t>
            </w:r>
          </w:p>
        </w:tc>
      </w:tr>
      <w:tr>
        <w:tc>
          <w:tcPr>
            <w:tcW w:type="dxa" w:w="2028"/>
          </w:tcPr>
          <w:p>
            <w:pPr>
              <w:spacing w:before="20" w:after="20"/>
              <w:jc w:val="left"/>
            </w:pPr>
            <w:r>
              <w:rPr>
                <w:rFonts w:ascii="Times New Roman" w:hAnsi="Times New Roman"/>
                <w:sz w:val="16"/>
              </w:rPr>
            </w:r>
            <w:r>
              <w:rPr>
                <w:rFonts w:ascii="Times New Roman" w:hAnsi="Times New Roman"/>
                <w:b w:val="0"/>
                <w:sz w:val="16"/>
              </w:rPr>
              <w:t>seed 2</w:t>
            </w:r>
          </w:p>
        </w:tc>
        <w:tc>
          <w:tcPr>
            <w:tcW w:type="dxa" w:w="1448"/>
          </w:tcPr>
          <w:p>
            <w:pPr>
              <w:spacing w:before="20" w:after="20"/>
              <w:jc w:val="center"/>
            </w:pPr>
            <w:r>
              <w:rPr>
                <w:rFonts w:ascii="Times New Roman" w:hAnsi="Times New Roman"/>
                <w:sz w:val="16"/>
              </w:rPr>
            </w:r>
            <w:r>
              <w:rPr>
                <w:rFonts w:ascii="Times New Roman" w:hAnsi="Times New Roman"/>
                <w:b w:val="0"/>
                <w:sz w:val="16"/>
              </w:rPr>
              <w:t>0.9556</w:t>
            </w:r>
          </w:p>
        </w:tc>
        <w:tc>
          <w:tcPr>
            <w:tcW w:type="dxa" w:w="1449"/>
          </w:tcPr>
          <w:p>
            <w:pPr>
              <w:spacing w:before="20" w:after="20"/>
              <w:jc w:val="center"/>
            </w:pPr>
            <w:r>
              <w:rPr>
                <w:rFonts w:ascii="Times New Roman" w:hAnsi="Times New Roman"/>
                <w:sz w:val="16"/>
              </w:rPr>
            </w:r>
            <w:r>
              <w:rPr>
                <w:rFonts w:ascii="Times New Roman" w:hAnsi="Times New Roman"/>
                <w:b w:val="0"/>
                <w:sz w:val="16"/>
              </w:rPr>
              <w:t>0.9558</w:t>
            </w:r>
          </w:p>
        </w:tc>
      </w:tr>
      <w:tr>
        <w:tc>
          <w:tcPr>
            <w:tcW w:type="dxa" w:w="2028"/>
          </w:tcPr>
          <w:p>
            <w:pPr>
              <w:spacing w:before="20" w:after="20"/>
              <w:jc w:val="left"/>
            </w:pPr>
            <w:r>
              <w:rPr>
                <w:rFonts w:ascii="Times New Roman" w:hAnsi="Times New Roman"/>
                <w:sz w:val="16"/>
              </w:rPr>
            </w:r>
            <w:r>
              <w:rPr>
                <w:rFonts w:ascii="Times New Roman" w:hAnsi="Times New Roman"/>
                <w:b/>
                <w:sz w:val="16"/>
              </w:rPr>
              <w:t>Mean</w:t>
            </w:r>
          </w:p>
        </w:tc>
        <w:tc>
          <w:tcPr>
            <w:tcW w:type="dxa" w:w="1448"/>
          </w:tcPr>
          <w:p>
            <w:pPr>
              <w:spacing w:before="20" w:after="20"/>
              <w:jc w:val="center"/>
            </w:pPr>
            <w:r>
              <w:rPr>
                <w:rFonts w:ascii="Times New Roman" w:hAnsi="Times New Roman"/>
                <w:sz w:val="16"/>
              </w:rPr>
            </w:r>
            <w:r>
              <w:rPr>
                <w:rFonts w:ascii="Times New Roman" w:hAnsi="Times New Roman"/>
                <w:b/>
                <w:sz w:val="16"/>
              </w:rPr>
              <w:t>0.9571</w:t>
            </w:r>
          </w:p>
        </w:tc>
        <w:tc>
          <w:tcPr>
            <w:tcW w:type="dxa" w:w="1449"/>
          </w:tcPr>
          <w:p>
            <w:pPr>
              <w:spacing w:before="20" w:after="20"/>
              <w:jc w:val="center"/>
            </w:pPr>
            <w:r>
              <w:rPr>
                <w:rFonts w:ascii="Times New Roman" w:hAnsi="Times New Roman"/>
                <w:sz w:val="16"/>
              </w:rPr>
            </w:r>
            <w:r>
              <w:rPr>
                <w:rFonts w:ascii="Times New Roman" w:hAnsi="Times New Roman"/>
                <w:b/>
                <w:sz w:val="16"/>
              </w:rPr>
              <w:t>0.9548</w:t>
            </w:r>
          </w:p>
        </w:tc>
      </w:tr>
      <w:tr>
        <w:tc>
          <w:tcPr>
            <w:tcW w:type="dxa" w:w="2028"/>
          </w:tcPr>
          <w:p>
            <w:pPr>
              <w:spacing w:before="20" w:after="20"/>
              <w:jc w:val="left"/>
            </w:pPr>
            <w:r>
              <w:rPr>
                <w:rFonts w:ascii="Times New Roman" w:hAnsi="Times New Roman"/>
                <w:sz w:val="16"/>
              </w:rPr>
            </w:r>
            <w:r>
              <w:rPr>
                <w:rFonts w:ascii="Times New Roman" w:hAnsi="Times New Roman"/>
                <w:b w:val="0"/>
                <w:sz w:val="16"/>
              </w:rPr>
              <w:t>Std. deviation</w:t>
            </w:r>
          </w:p>
        </w:tc>
        <w:tc>
          <w:tcPr>
            <w:tcW w:type="dxa" w:w="1448"/>
          </w:tcPr>
          <w:p>
            <w:pPr>
              <w:spacing w:before="20" w:after="20"/>
              <w:jc w:val="center"/>
            </w:pPr>
            <w:r>
              <w:rPr>
                <w:rFonts w:ascii="Times New Roman" w:hAnsi="Times New Roman"/>
                <w:sz w:val="16"/>
              </w:rPr>
            </w:r>
            <w:r>
              <w:rPr>
                <w:rFonts w:ascii="Times New Roman" w:hAnsi="Times New Roman"/>
                <w:b w:val="0"/>
                <w:sz w:val="16"/>
              </w:rPr>
              <w:t>0.0016</w:t>
            </w:r>
          </w:p>
        </w:tc>
        <w:tc>
          <w:tcPr>
            <w:tcW w:type="dxa" w:w="1449"/>
          </w:tcPr>
          <w:p>
            <w:pPr>
              <w:spacing w:before="20" w:after="20"/>
              <w:jc w:val="center"/>
            </w:pPr>
            <w:r>
              <w:rPr>
                <w:rFonts w:ascii="Times New Roman" w:hAnsi="Times New Roman"/>
                <w:sz w:val="16"/>
              </w:rPr>
            </w:r>
            <w:r>
              <w:rPr>
                <w:rFonts w:ascii="Times New Roman" w:hAnsi="Times New Roman"/>
                <w:b w:val="0"/>
                <w:sz w:val="16"/>
              </w:rPr>
              <w:t>0.0034</w:t>
            </w:r>
          </w:p>
        </w:tc>
      </w:tr>
      <w:tr>
        <w:tc>
          <w:tcPr>
            <w:tcW w:type="dxa" w:w="2028"/>
          </w:tcPr>
          <w:p>
            <w:pPr>
              <w:spacing w:before="20" w:after="20"/>
              <w:jc w:val="left"/>
            </w:pPr>
            <w:r>
              <w:rPr>
                <w:rFonts w:ascii="Times New Roman" w:hAnsi="Times New Roman"/>
                <w:sz w:val="16"/>
              </w:rPr>
            </w:r>
            <w:r>
              <w:rPr>
                <w:rFonts w:ascii="Times New Roman" w:hAnsi="Times New Roman"/>
                <w:b w:val="0"/>
                <w:sz w:val="16"/>
              </w:rPr>
              <w:t>Range</w:t>
            </w:r>
          </w:p>
        </w:tc>
        <w:tc>
          <w:tcPr>
            <w:tcW w:type="dxa" w:w="1448"/>
          </w:tcPr>
          <w:p>
            <w:pPr>
              <w:spacing w:before="20" w:after="20"/>
              <w:jc w:val="center"/>
            </w:pPr>
            <w:r>
              <w:rPr>
                <w:rFonts w:ascii="Times New Roman" w:hAnsi="Times New Roman"/>
                <w:sz w:val="16"/>
              </w:rPr>
            </w:r>
            <w:r>
              <w:rPr>
                <w:rFonts w:ascii="Times New Roman" w:hAnsi="Times New Roman"/>
                <w:b w:val="0"/>
                <w:sz w:val="16"/>
              </w:rPr>
              <w:t>0.0031</w:t>
            </w:r>
          </w:p>
        </w:tc>
        <w:tc>
          <w:tcPr>
            <w:tcW w:type="dxa" w:w="1449"/>
          </w:tcPr>
          <w:p>
            <w:pPr>
              <w:spacing w:before="20" w:after="20"/>
              <w:jc w:val="center"/>
            </w:pPr>
            <w:r>
              <w:rPr>
                <w:rFonts w:ascii="Times New Roman" w:hAnsi="Times New Roman"/>
                <w:sz w:val="16"/>
              </w:rPr>
            </w:r>
            <w:r>
              <w:rPr>
                <w:rFonts w:ascii="Times New Roman" w:hAnsi="Times New Roman"/>
                <w:b w:val="0"/>
                <w:sz w:val="16"/>
              </w:rPr>
              <w:t>0.0065</w:t>
            </w:r>
          </w:p>
        </w:tc>
      </w:tr>
    </w:tbl>
    <w:p>
      <w:pPr>
        <w:pStyle w:val="Text"/>
        <w:spacing w:after="80"/>
      </w:pPr>
    </w:p>
    <w:p>
      <w:pPr>
        <w:pStyle w:val="TableCaption"/>
        <w:spacing w:before="120" w:after="40"/>
        <w:jc w:val="center"/>
      </w:pPr>
      <w:r>
        <w:rPr>
          <w:rFonts w:ascii="Times New Roman" w:hAnsi="Times New Roman"/>
          <w:b/>
          <w:sz w:val="18"/>
        </w:rPr>
        <w:t>Table 5: Macro AUC across the same runs</w:t>
      </w:r>
    </w:p>
    <w:tbl>
      <w:tblPr>
        <w:tblStyle w:val="TableGrid"/>
        <w:tblW w:type="dxa" w:w="4925"/>
        <w:tblLayout w:type="fixed"/>
        <w:tblLook w:firstColumn="1" w:firstRow="1" w:lastColumn="0" w:lastRow="0" w:noHBand="0" w:noVBand="1" w:val="04A0"/>
      </w:tblPr>
      <w:tblGrid>
        <w:gridCol w:w="2028"/>
        <w:gridCol w:w="1448"/>
        <w:gridCol w:w="1449"/>
      </w:tblGrid>
      <w:tr>
        <w:tc>
          <w:tcPr>
            <w:tcW w:type="dxa" w:w="2028"/>
          </w:tcPr>
          <w:p>
            <w:pPr>
              <w:spacing w:before="20" w:after="20"/>
              <w:jc w:val="center"/>
            </w:pPr>
            <w:r>
              <w:rPr>
                <w:rFonts w:ascii="Times New Roman" w:hAnsi="Times New Roman"/>
                <w:b/>
                <w:sz w:val="16"/>
              </w:rPr>
            </w:r>
            <w:r>
              <w:rPr>
                <w:rFonts w:ascii="Times New Roman" w:hAnsi="Times New Roman"/>
                <w:b/>
                <w:sz w:val="16"/>
              </w:rPr>
              <w:t>Statistic</w:t>
            </w:r>
          </w:p>
        </w:tc>
        <w:tc>
          <w:tcPr>
            <w:tcW w:type="dxa" w:w="1448"/>
          </w:tcPr>
          <w:p>
            <w:pPr>
              <w:spacing w:before="20" w:after="20"/>
              <w:jc w:val="center"/>
            </w:pPr>
            <w:r>
              <w:rPr>
                <w:rFonts w:ascii="Times New Roman" w:hAnsi="Times New Roman"/>
                <w:b/>
                <w:sz w:val="16"/>
              </w:rPr>
            </w:r>
            <w:r>
              <w:rPr>
                <w:rFonts w:ascii="Times New Roman" w:hAnsi="Times New Roman"/>
                <w:b/>
                <w:sz w:val="16"/>
              </w:rPr>
              <w:t>ResNet18</w:t>
            </w:r>
          </w:p>
        </w:tc>
        <w:tc>
          <w:tcPr>
            <w:tcW w:type="dxa" w:w="1449"/>
          </w:tcPr>
          <w:p>
            <w:pPr>
              <w:spacing w:before="20" w:after="20"/>
              <w:jc w:val="center"/>
            </w:pPr>
            <w:r>
              <w:rPr>
                <w:rFonts w:ascii="Times New Roman" w:hAnsi="Times New Roman"/>
                <w:b/>
                <w:sz w:val="16"/>
              </w:rPr>
            </w:r>
            <w:r>
              <w:rPr>
                <w:rFonts w:ascii="Times New Roman" w:hAnsi="Times New Roman"/>
                <w:b/>
                <w:sz w:val="16"/>
              </w:rPr>
              <w:t>ResNet50</w:t>
            </w:r>
          </w:p>
        </w:tc>
      </w:tr>
      <w:tr>
        <w:tc>
          <w:tcPr>
            <w:tcW w:type="dxa" w:w="2028"/>
          </w:tcPr>
          <w:p>
            <w:pPr>
              <w:spacing w:before="20" w:after="20"/>
              <w:jc w:val="left"/>
            </w:pPr>
            <w:r>
              <w:rPr>
                <w:rFonts w:ascii="Times New Roman" w:hAnsi="Times New Roman"/>
                <w:sz w:val="16"/>
              </w:rPr>
            </w:r>
            <w:r>
              <w:rPr>
                <w:rFonts w:ascii="Times New Roman" w:hAnsi="Times New Roman"/>
                <w:b w:val="0"/>
                <w:sz w:val="16"/>
              </w:rPr>
              <w:t>seed 42</w:t>
            </w:r>
          </w:p>
        </w:tc>
        <w:tc>
          <w:tcPr>
            <w:tcW w:type="dxa" w:w="1448"/>
          </w:tcPr>
          <w:p>
            <w:pPr>
              <w:spacing w:before="20" w:after="20"/>
              <w:jc w:val="center"/>
            </w:pPr>
            <w:r>
              <w:rPr>
                <w:rFonts w:ascii="Times New Roman" w:hAnsi="Times New Roman"/>
                <w:sz w:val="16"/>
              </w:rPr>
            </w:r>
            <w:r>
              <w:rPr>
                <w:rFonts w:ascii="Times New Roman" w:hAnsi="Times New Roman"/>
                <w:b w:val="0"/>
                <w:sz w:val="16"/>
              </w:rPr>
              <w:t>0.9928</w:t>
            </w:r>
          </w:p>
        </w:tc>
        <w:tc>
          <w:tcPr>
            <w:tcW w:type="dxa" w:w="1449"/>
          </w:tcPr>
          <w:p>
            <w:pPr>
              <w:spacing w:before="20" w:after="20"/>
              <w:jc w:val="center"/>
            </w:pPr>
            <w:r>
              <w:rPr>
                <w:rFonts w:ascii="Times New Roman" w:hAnsi="Times New Roman"/>
                <w:sz w:val="16"/>
              </w:rPr>
            </w:r>
            <w:r>
              <w:rPr>
                <w:rFonts w:ascii="Times New Roman" w:hAnsi="Times New Roman"/>
                <w:b w:val="0"/>
                <w:sz w:val="16"/>
              </w:rPr>
              <w:t>0.9937</w:t>
            </w:r>
          </w:p>
        </w:tc>
      </w:tr>
      <w:tr>
        <w:tc>
          <w:tcPr>
            <w:tcW w:type="dxa" w:w="2028"/>
          </w:tcPr>
          <w:p>
            <w:pPr>
              <w:spacing w:before="20" w:after="20"/>
              <w:jc w:val="left"/>
            </w:pPr>
            <w:r>
              <w:rPr>
                <w:rFonts w:ascii="Times New Roman" w:hAnsi="Times New Roman"/>
                <w:sz w:val="16"/>
              </w:rPr>
            </w:r>
            <w:r>
              <w:rPr>
                <w:rFonts w:ascii="Times New Roman" w:hAnsi="Times New Roman"/>
                <w:b w:val="0"/>
                <w:sz w:val="16"/>
              </w:rPr>
              <w:t>seed 1</w:t>
            </w:r>
          </w:p>
        </w:tc>
        <w:tc>
          <w:tcPr>
            <w:tcW w:type="dxa" w:w="1448"/>
          </w:tcPr>
          <w:p>
            <w:pPr>
              <w:spacing w:before="20" w:after="20"/>
              <w:jc w:val="center"/>
            </w:pPr>
            <w:r>
              <w:rPr>
                <w:rFonts w:ascii="Times New Roman" w:hAnsi="Times New Roman"/>
                <w:sz w:val="16"/>
              </w:rPr>
            </w:r>
            <w:r>
              <w:rPr>
                <w:rFonts w:ascii="Times New Roman" w:hAnsi="Times New Roman"/>
                <w:b w:val="0"/>
                <w:sz w:val="16"/>
              </w:rPr>
              <w:t>0.9926</w:t>
            </w:r>
          </w:p>
        </w:tc>
        <w:tc>
          <w:tcPr>
            <w:tcW w:type="dxa" w:w="1449"/>
          </w:tcPr>
          <w:p>
            <w:pPr>
              <w:spacing w:before="20" w:after="20"/>
              <w:jc w:val="center"/>
            </w:pPr>
            <w:r>
              <w:rPr>
                <w:rFonts w:ascii="Times New Roman" w:hAnsi="Times New Roman"/>
                <w:sz w:val="16"/>
              </w:rPr>
            </w:r>
            <w:r>
              <w:rPr>
                <w:rFonts w:ascii="Times New Roman" w:hAnsi="Times New Roman"/>
                <w:b w:val="0"/>
                <w:sz w:val="16"/>
              </w:rPr>
              <w:t>0.9930</w:t>
            </w:r>
          </w:p>
        </w:tc>
      </w:tr>
      <w:tr>
        <w:tc>
          <w:tcPr>
            <w:tcW w:type="dxa" w:w="2028"/>
          </w:tcPr>
          <w:p>
            <w:pPr>
              <w:spacing w:before="20" w:after="20"/>
              <w:jc w:val="left"/>
            </w:pPr>
            <w:r>
              <w:rPr>
                <w:rFonts w:ascii="Times New Roman" w:hAnsi="Times New Roman"/>
                <w:sz w:val="16"/>
              </w:rPr>
            </w:r>
            <w:r>
              <w:rPr>
                <w:rFonts w:ascii="Times New Roman" w:hAnsi="Times New Roman"/>
                <w:b w:val="0"/>
                <w:sz w:val="16"/>
              </w:rPr>
              <w:t>seed 2</w:t>
            </w:r>
          </w:p>
        </w:tc>
        <w:tc>
          <w:tcPr>
            <w:tcW w:type="dxa" w:w="1448"/>
          </w:tcPr>
          <w:p>
            <w:pPr>
              <w:spacing w:before="20" w:after="20"/>
              <w:jc w:val="center"/>
            </w:pPr>
            <w:r>
              <w:rPr>
                <w:rFonts w:ascii="Times New Roman" w:hAnsi="Times New Roman"/>
                <w:sz w:val="16"/>
              </w:rPr>
            </w:r>
            <w:r>
              <w:rPr>
                <w:rFonts w:ascii="Times New Roman" w:hAnsi="Times New Roman"/>
                <w:b w:val="0"/>
                <w:sz w:val="16"/>
              </w:rPr>
              <w:t>0.9919</w:t>
            </w:r>
          </w:p>
        </w:tc>
        <w:tc>
          <w:tcPr>
            <w:tcW w:type="dxa" w:w="1449"/>
          </w:tcPr>
          <w:p>
            <w:pPr>
              <w:spacing w:before="20" w:after="20"/>
              <w:jc w:val="center"/>
            </w:pPr>
            <w:r>
              <w:rPr>
                <w:rFonts w:ascii="Times New Roman" w:hAnsi="Times New Roman"/>
                <w:sz w:val="16"/>
              </w:rPr>
            </w:r>
            <w:r>
              <w:rPr>
                <w:rFonts w:ascii="Times New Roman" w:hAnsi="Times New Roman"/>
                <w:b w:val="0"/>
                <w:sz w:val="16"/>
              </w:rPr>
              <w:t>0.9934</w:t>
            </w:r>
          </w:p>
        </w:tc>
      </w:tr>
      <w:tr>
        <w:tc>
          <w:tcPr>
            <w:tcW w:type="dxa" w:w="2028"/>
          </w:tcPr>
          <w:p>
            <w:pPr>
              <w:spacing w:before="20" w:after="20"/>
              <w:jc w:val="left"/>
            </w:pPr>
            <w:r>
              <w:rPr>
                <w:rFonts w:ascii="Times New Roman" w:hAnsi="Times New Roman"/>
                <w:sz w:val="16"/>
              </w:rPr>
            </w:r>
            <w:r>
              <w:rPr>
                <w:rFonts w:ascii="Times New Roman" w:hAnsi="Times New Roman"/>
                <w:b/>
                <w:sz w:val="16"/>
              </w:rPr>
              <w:t>Mean</w:t>
            </w:r>
          </w:p>
        </w:tc>
        <w:tc>
          <w:tcPr>
            <w:tcW w:type="dxa" w:w="1448"/>
          </w:tcPr>
          <w:p>
            <w:pPr>
              <w:spacing w:before="20" w:after="20"/>
              <w:jc w:val="center"/>
            </w:pPr>
            <w:r>
              <w:rPr>
                <w:rFonts w:ascii="Times New Roman" w:hAnsi="Times New Roman"/>
                <w:sz w:val="16"/>
              </w:rPr>
            </w:r>
            <w:r>
              <w:rPr>
                <w:rFonts w:ascii="Times New Roman" w:hAnsi="Times New Roman"/>
                <w:b/>
                <w:sz w:val="16"/>
              </w:rPr>
              <w:t>0.9924</w:t>
            </w:r>
          </w:p>
        </w:tc>
        <w:tc>
          <w:tcPr>
            <w:tcW w:type="dxa" w:w="1449"/>
          </w:tcPr>
          <w:p>
            <w:pPr>
              <w:spacing w:before="20" w:after="20"/>
              <w:jc w:val="center"/>
            </w:pPr>
            <w:r>
              <w:rPr>
                <w:rFonts w:ascii="Times New Roman" w:hAnsi="Times New Roman"/>
                <w:sz w:val="16"/>
              </w:rPr>
            </w:r>
            <w:r>
              <w:rPr>
                <w:rFonts w:ascii="Times New Roman" w:hAnsi="Times New Roman"/>
                <w:b/>
                <w:sz w:val="16"/>
              </w:rPr>
              <w:t>0.9933</w:t>
            </w:r>
          </w:p>
        </w:tc>
      </w:tr>
    </w:tbl>
    <w:p>
      <w:pPr>
        <w:pStyle w:val="Text"/>
        <w:spacing w:after="80"/>
      </w:pPr>
    </w:p>
    <w:p>
      <w:pPr>
        <w:pStyle w:val="Text"/>
      </w:pPr>
      <w:r>
        <w:rPr>
          <w:rFonts w:ascii="Times New Roman" w:hAnsi="Times New Roman"/>
          <w:b/>
        </w:rPr>
        <w:t>The capacity difference is not distinguishable from seed noise.</w:t>
      </w:r>
      <w:r>
        <w:rPr>
          <w:rFonts w:ascii="Times New Roman" w:hAnsi="Times New Roman"/>
          <w:b w:val="0"/>
        </w:rPr>
        <w:t xml:space="preserve"> The means differ by −0.0023 macro F1 against a pooled standard deviation of 0.0025 — an effect of 0.93 standard deviations — and the ranges overlap substantially. For scale, the lung-masking ablation of Section 4.5 moves macro F1 by 0.0246, an order of magnitude further.</w:t>
      </w:r>
    </w:p>
    <w:p>
      <w:pPr>
        <w:pStyle w:val="Text"/>
      </w:pPr>
      <w:r>
        <w:rPr>
          <w:rFonts w:ascii="Times New Roman" w:hAnsi="Times New Roman"/>
          <w:b/>
        </w:rPr>
        <w:t>This is why the study was necessary.</w:t>
      </w:r>
      <w:r>
        <w:rPr>
          <w:rFonts w:ascii="Times New Roman" w:hAnsi="Times New Roman"/>
          <w:b w:val="0"/>
        </w:rPr>
        <w:t xml:space="preserve"> Comparing the two seed-42 runs alone gives −0.0011, less than half the difference between the means, because that ResNet18 run is the best of its three and that ResNet50 run the best of its three. A single-run comparison would have reported a number out by a factor of two and, depending which pair was trained, either sign. Single-run backbone comparisons are common, and on this task the spread exceeds the effect.</w:t>
      </w:r>
    </w:p>
    <w:p>
      <w:pPr>
        <w:pStyle w:val="Text"/>
      </w:pPr>
      <w:r>
        <w:rPr>
          <w:rFonts w:ascii="Times New Roman" w:hAnsi="Times New Roman"/>
          <w:b/>
        </w:rPr>
        <w:t>ResNet50 is markedly less stable</w:t>
      </w:r>
      <w:r>
        <w:rPr>
          <w:rFonts w:ascii="Times New Roman" w:hAnsi="Times New Roman"/>
          <w:b w:val="0"/>
        </w:rPr>
        <w:t>, with a standard deviation of 0.0034 against 0.0016 and twice the range. The larger model is not merely no better; it is more dependent on initialisation, the opposite of what capacity is usually expected to buy.</w:t>
      </w:r>
    </w:p>
    <w:p>
      <w:pPr>
        <w:pStyle w:val="Text"/>
      </w:pPr>
      <w:r>
        <w:rPr>
          <w:rFonts w:ascii="Times New Roman" w:hAnsi="Times New Roman"/>
          <w:b/>
        </w:rPr>
        <w:t>One difference does survive, in AUC rather than F1.</w:t>
      </w:r>
      <w:r>
        <w:rPr>
          <w:rFonts w:ascii="Times New Roman" w:hAnsi="Times New Roman"/>
          <w:b w:val="0"/>
        </w:rPr>
        <w:t xml:space="preserve"> Every ResNet50 run scores a higher macro AUC than every ResNet18 run — 0.9930–0.9937 against 0.9919–0.9928, no overlap — while macro F1 shows no separation. The larger model ranks the classes more reliably and converts that ranking into decisions no better and less consistently. The same dissociation appears in Section 4.5, where masking costs eight times more F1 than AUC, and in Section 4.3, where the two fidelity metrics rank the backbones oppositely.</w:t>
      </w:r>
    </w:p>
    <w:p>
      <w:pPr>
        <w:pStyle w:val="Text"/>
      </w:pPr>
      <w:r>
        <w:rPr>
          <w:rFonts w:ascii="Times New Roman" w:hAnsi="Times New Roman"/>
          <w:b w:val="0"/>
        </w:rPr>
        <w:t xml:space="preserve">The conventional reading of a flat capacity curve is task saturation. Given Section 4.5 a second reading is better supported: </w:t>
      </w:r>
      <w:r>
        <w:rPr>
          <w:rFonts w:ascii="Times New Roman" w:hAnsi="Times New Roman"/>
          <w:b/>
        </w:rPr>
        <w:t>if a substantial part of the achievable score comes from acquisition signature, the smaller network has already extracted it and additional capacity has nothing left to buy.</w:t>
      </w:r>
    </w:p>
    <w:p>
      <w:pPr>
        <w:pStyle w:val="Heading2"/>
        <w:jc w:val="left"/>
      </w:pPr>
      <w:r>
        <w:rPr>
          <w:rFonts w:ascii="Times New Roman" w:hAnsi="Times New Roman"/>
          <w:b/>
          <w:sz w:val="21"/>
        </w:rPr>
        <w:t>4.3 Explanation Fidelity</w:t>
      </w:r>
    </w:p>
    <w:p>
      <w:pPr>
        <w:pStyle w:val="Text"/>
      </w:pPr>
      <w:r>
        <w:rPr>
          <w:rFonts w:ascii="Times New Roman" w:hAnsi="Times New Roman"/>
          <w:b w:val="0"/>
        </w:rPr>
        <w:t xml:space="preserve">Measured over 200 test images drawn at random (33 COVID19, 48 LUNG_OPACITY, 102 NORMAL, 17 PNEUMONIA). Both backbones are scored on </w:t>
      </w:r>
      <w:r>
        <w:rPr>
          <w:rFonts w:ascii="Times New Roman" w:hAnsi="Times New Roman"/>
          <w:b/>
        </w:rPr>
        <w:t>the identical images under identical random control orderings</w:t>
      </w:r>
      <w:r>
        <w:rPr>
          <w:rFonts w:ascii="Times New Roman" w:hAnsi="Times New Roman"/>
          <w:b w:val="0"/>
        </w:rPr>
        <w:t>, so differences are attributable to the models alone.</w:t>
      </w:r>
    </w:p>
    <w:p>
      <w:pPr>
        <w:pStyle w:val="TableCaption"/>
        <w:spacing w:before="120" w:after="40"/>
        <w:jc w:val="center"/>
      </w:pPr>
      <w:r>
        <w:rPr>
          <w:rFonts w:ascii="Times New Roman" w:hAnsi="Times New Roman"/>
          <w:b/>
          <w:sz w:val="18"/>
        </w:rPr>
        <w:t>Table 6: Deletion and insertion [8], against a random ordering</w:t>
      </w:r>
    </w:p>
    <w:tbl>
      <w:tblPr>
        <w:tblStyle w:val="TableGrid"/>
        <w:tblW w:type="dxa" w:w="4925"/>
        <w:tblLayout w:type="fixed"/>
        <w:tblLook w:firstColumn="1" w:firstRow="1" w:lastColumn="0" w:lastRow="0" w:noHBand="0" w:noVBand="1" w:val="04A0"/>
      </w:tblPr>
      <w:tblGrid>
        <w:gridCol w:w="2318"/>
        <w:gridCol w:w="1304"/>
        <w:gridCol w:w="1303"/>
      </w:tblGrid>
      <w:tr>
        <w:tc>
          <w:tcPr>
            <w:tcW w:type="dxa" w:w="2318"/>
          </w:tcPr>
          <w:p>
            <w:pPr>
              <w:spacing w:before="20" w:after="20"/>
              <w:jc w:val="center"/>
            </w:pPr>
            <w:r>
              <w:rPr>
                <w:rFonts w:ascii="Times New Roman" w:hAnsi="Times New Roman"/>
                <w:b/>
                <w:sz w:val="16"/>
              </w:rPr>
            </w:r>
            <w:r>
              <w:rPr>
                <w:rFonts w:ascii="Times New Roman" w:hAnsi="Times New Roman"/>
                <w:b/>
                <w:sz w:val="16"/>
              </w:rPr>
              <w:t>Quantity</w:t>
            </w:r>
          </w:p>
        </w:tc>
        <w:tc>
          <w:tcPr>
            <w:tcW w:type="dxa" w:w="1304"/>
          </w:tcPr>
          <w:p>
            <w:pPr>
              <w:spacing w:before="20" w:after="20"/>
              <w:jc w:val="center"/>
            </w:pPr>
            <w:r>
              <w:rPr>
                <w:rFonts w:ascii="Times New Roman" w:hAnsi="Times New Roman"/>
                <w:b/>
                <w:sz w:val="16"/>
              </w:rPr>
            </w:r>
            <w:r>
              <w:rPr>
                <w:rFonts w:ascii="Times New Roman" w:hAnsi="Times New Roman"/>
                <w:b/>
                <w:sz w:val="16"/>
              </w:rPr>
              <w:t>Deletion</w:t>
            </w:r>
          </w:p>
        </w:tc>
        <w:tc>
          <w:tcPr>
            <w:tcW w:type="dxa" w:w="1303"/>
          </w:tcPr>
          <w:p>
            <w:pPr>
              <w:spacing w:before="20" w:after="20"/>
              <w:jc w:val="center"/>
            </w:pPr>
            <w:r>
              <w:rPr>
                <w:rFonts w:ascii="Times New Roman" w:hAnsi="Times New Roman"/>
                <w:b/>
                <w:sz w:val="16"/>
              </w:rPr>
            </w:r>
            <w:r>
              <w:rPr>
                <w:rFonts w:ascii="Times New Roman" w:hAnsi="Times New Roman"/>
                <w:b/>
                <w:sz w:val="16"/>
              </w:rPr>
              <w:t>Insertion</w:t>
            </w:r>
          </w:p>
        </w:tc>
      </w:tr>
      <w:tr>
        <w:tc>
          <w:tcPr>
            <w:tcW w:type="dxa" w:w="2318"/>
          </w:tcPr>
          <w:p>
            <w:pPr>
              <w:spacing w:before="20" w:after="20"/>
              <w:jc w:val="left"/>
            </w:pPr>
            <w:r>
              <w:rPr>
                <w:rFonts w:ascii="Times New Roman" w:hAnsi="Times New Roman"/>
                <w:sz w:val="16"/>
              </w:rPr>
            </w:r>
            <w:r>
              <w:rPr>
                <w:rFonts w:ascii="Times New Roman" w:hAnsi="Times New Roman"/>
                <w:b w:val="0"/>
                <w:sz w:val="16"/>
              </w:rPr>
              <w:t>ResNet18 Grad-CAM</w:t>
            </w:r>
          </w:p>
        </w:tc>
        <w:tc>
          <w:tcPr>
            <w:tcW w:type="dxa" w:w="1304"/>
          </w:tcPr>
          <w:p>
            <w:pPr>
              <w:spacing w:before="20" w:after="20"/>
              <w:jc w:val="center"/>
            </w:pPr>
            <w:r>
              <w:rPr>
                <w:rFonts w:ascii="Times New Roman" w:hAnsi="Times New Roman"/>
                <w:sz w:val="16"/>
              </w:rPr>
            </w:r>
            <w:r>
              <w:rPr>
                <w:rFonts w:ascii="Times New Roman" w:hAnsi="Times New Roman"/>
                <w:b w:val="0"/>
                <w:sz w:val="16"/>
              </w:rPr>
              <w:t>0.4503</w:t>
            </w:r>
          </w:p>
        </w:tc>
        <w:tc>
          <w:tcPr>
            <w:tcW w:type="dxa" w:w="1303"/>
          </w:tcPr>
          <w:p>
            <w:pPr>
              <w:spacing w:before="20" w:after="20"/>
              <w:jc w:val="center"/>
            </w:pPr>
            <w:r>
              <w:rPr>
                <w:rFonts w:ascii="Times New Roman" w:hAnsi="Times New Roman"/>
                <w:sz w:val="16"/>
              </w:rPr>
            </w:r>
            <w:r>
              <w:rPr>
                <w:rFonts w:ascii="Times New Roman" w:hAnsi="Times New Roman"/>
                <w:b w:val="0"/>
                <w:sz w:val="16"/>
              </w:rPr>
              <w:t>0.7764</w:t>
            </w:r>
          </w:p>
        </w:tc>
      </w:tr>
      <w:tr>
        <w:tc>
          <w:tcPr>
            <w:tcW w:type="dxa" w:w="2318"/>
          </w:tcPr>
          <w:p>
            <w:pPr>
              <w:spacing w:before="20" w:after="20"/>
              <w:jc w:val="left"/>
            </w:pPr>
            <w:r>
              <w:rPr>
                <w:rFonts w:ascii="Times New Roman" w:hAnsi="Times New Roman"/>
                <w:sz w:val="16"/>
              </w:rPr>
            </w:r>
            <w:r>
              <w:rPr>
                <w:rFonts w:ascii="Times New Roman" w:hAnsi="Times New Roman"/>
                <w:b w:val="0"/>
                <w:sz w:val="16"/>
              </w:rPr>
              <w:t>ResNet18 random</w:t>
            </w:r>
          </w:p>
        </w:tc>
        <w:tc>
          <w:tcPr>
            <w:tcW w:type="dxa" w:w="1304"/>
          </w:tcPr>
          <w:p>
            <w:pPr>
              <w:spacing w:before="20" w:after="20"/>
              <w:jc w:val="center"/>
            </w:pPr>
            <w:r>
              <w:rPr>
                <w:rFonts w:ascii="Times New Roman" w:hAnsi="Times New Roman"/>
                <w:sz w:val="16"/>
              </w:rPr>
            </w:r>
            <w:r>
              <w:rPr>
                <w:rFonts w:ascii="Times New Roman" w:hAnsi="Times New Roman"/>
                <w:b w:val="0"/>
                <w:sz w:val="16"/>
              </w:rPr>
              <w:t>0.4400</w:t>
            </w:r>
          </w:p>
        </w:tc>
        <w:tc>
          <w:tcPr>
            <w:tcW w:type="dxa" w:w="1303"/>
          </w:tcPr>
          <w:p>
            <w:pPr>
              <w:spacing w:before="20" w:after="20"/>
              <w:jc w:val="center"/>
            </w:pPr>
            <w:r>
              <w:rPr>
                <w:rFonts w:ascii="Times New Roman" w:hAnsi="Times New Roman"/>
                <w:sz w:val="16"/>
              </w:rPr>
            </w:r>
            <w:r>
              <w:rPr>
                <w:rFonts w:ascii="Times New Roman" w:hAnsi="Times New Roman"/>
                <w:b w:val="0"/>
                <w:sz w:val="16"/>
              </w:rPr>
              <w:t>0.4364</w:t>
            </w:r>
          </w:p>
        </w:tc>
      </w:tr>
      <w:tr>
        <w:tc>
          <w:tcPr>
            <w:tcW w:type="dxa" w:w="2318"/>
          </w:tcPr>
          <w:p>
            <w:pPr>
              <w:spacing w:before="20" w:after="20"/>
              <w:jc w:val="left"/>
            </w:pPr>
            <w:r>
              <w:rPr>
                <w:rFonts w:ascii="Times New Roman" w:hAnsi="Times New Roman"/>
                <w:sz w:val="16"/>
              </w:rPr>
            </w:r>
            <w:r>
              <w:rPr>
                <w:rFonts w:ascii="Times New Roman" w:hAnsi="Times New Roman"/>
                <w:b/>
                <w:sz w:val="16"/>
              </w:rPr>
              <w:t>ResNet18 gap</w:t>
            </w:r>
          </w:p>
        </w:tc>
        <w:tc>
          <w:tcPr>
            <w:tcW w:type="dxa" w:w="1304"/>
          </w:tcPr>
          <w:p>
            <w:pPr>
              <w:spacing w:before="20" w:after="20"/>
              <w:jc w:val="center"/>
            </w:pPr>
            <w:r>
              <w:rPr>
                <w:rFonts w:ascii="Times New Roman" w:hAnsi="Times New Roman"/>
                <w:sz w:val="16"/>
              </w:rPr>
            </w:r>
            <w:r>
              <w:rPr>
                <w:rFonts w:ascii="Times New Roman" w:hAnsi="Times New Roman"/>
                <w:b w:val="0"/>
                <w:sz w:val="16"/>
              </w:rPr>
              <w:t>+0.0103</w:t>
            </w:r>
          </w:p>
        </w:tc>
        <w:tc>
          <w:tcPr>
            <w:tcW w:type="dxa" w:w="1303"/>
          </w:tcPr>
          <w:p>
            <w:pPr>
              <w:spacing w:before="20" w:after="20"/>
              <w:jc w:val="center"/>
            </w:pPr>
            <w:r>
              <w:rPr>
                <w:rFonts w:ascii="Times New Roman" w:hAnsi="Times New Roman"/>
                <w:sz w:val="16"/>
              </w:rPr>
            </w:r>
            <w:r>
              <w:rPr>
                <w:rFonts w:ascii="Times New Roman" w:hAnsi="Times New Roman"/>
                <w:b/>
                <w:sz w:val="16"/>
              </w:rPr>
              <w:t>+0.3400</w:t>
            </w:r>
          </w:p>
        </w:tc>
      </w:tr>
      <w:tr>
        <w:tc>
          <w:tcPr>
            <w:tcW w:type="dxa" w:w="2318"/>
          </w:tcPr>
          <w:p>
            <w:pPr>
              <w:spacing w:before="20" w:after="20"/>
              <w:jc w:val="left"/>
            </w:pPr>
            <w:r>
              <w:rPr>
                <w:rFonts w:ascii="Times New Roman" w:hAnsi="Times New Roman"/>
                <w:sz w:val="16"/>
              </w:rPr>
            </w:r>
            <w:r>
              <w:rPr>
                <w:rFonts w:ascii="Times New Roman" w:hAnsi="Times New Roman"/>
                <w:b w:val="0"/>
                <w:sz w:val="16"/>
              </w:rPr>
              <w:t>ResNet50 Grad-CAM</w:t>
            </w:r>
          </w:p>
        </w:tc>
        <w:tc>
          <w:tcPr>
            <w:tcW w:type="dxa" w:w="1304"/>
          </w:tcPr>
          <w:p>
            <w:pPr>
              <w:spacing w:before="20" w:after="20"/>
              <w:jc w:val="center"/>
            </w:pPr>
            <w:r>
              <w:rPr>
                <w:rFonts w:ascii="Times New Roman" w:hAnsi="Times New Roman"/>
                <w:sz w:val="16"/>
              </w:rPr>
            </w:r>
            <w:r>
              <w:rPr>
                <w:rFonts w:ascii="Times New Roman" w:hAnsi="Times New Roman"/>
                <w:b w:val="0"/>
                <w:sz w:val="16"/>
              </w:rPr>
              <w:t>0.4282</w:t>
            </w:r>
          </w:p>
        </w:tc>
        <w:tc>
          <w:tcPr>
            <w:tcW w:type="dxa" w:w="1303"/>
          </w:tcPr>
          <w:p>
            <w:pPr>
              <w:spacing w:before="20" w:after="20"/>
              <w:jc w:val="center"/>
            </w:pPr>
            <w:r>
              <w:rPr>
                <w:rFonts w:ascii="Times New Roman" w:hAnsi="Times New Roman"/>
                <w:sz w:val="16"/>
              </w:rPr>
            </w:r>
            <w:r>
              <w:rPr>
                <w:rFonts w:ascii="Times New Roman" w:hAnsi="Times New Roman"/>
                <w:b w:val="0"/>
                <w:sz w:val="16"/>
              </w:rPr>
              <w:t>0.8700</w:t>
            </w:r>
          </w:p>
        </w:tc>
      </w:tr>
      <w:tr>
        <w:tc>
          <w:tcPr>
            <w:tcW w:type="dxa" w:w="2318"/>
          </w:tcPr>
          <w:p>
            <w:pPr>
              <w:spacing w:before="20" w:after="20"/>
              <w:jc w:val="left"/>
            </w:pPr>
            <w:r>
              <w:rPr>
                <w:rFonts w:ascii="Times New Roman" w:hAnsi="Times New Roman"/>
                <w:sz w:val="16"/>
              </w:rPr>
            </w:r>
            <w:r>
              <w:rPr>
                <w:rFonts w:ascii="Times New Roman" w:hAnsi="Times New Roman"/>
                <w:b w:val="0"/>
                <w:sz w:val="16"/>
              </w:rPr>
              <w:t>ResNet50 random</w:t>
            </w:r>
          </w:p>
        </w:tc>
        <w:tc>
          <w:tcPr>
            <w:tcW w:type="dxa" w:w="1304"/>
          </w:tcPr>
          <w:p>
            <w:pPr>
              <w:spacing w:before="20" w:after="20"/>
              <w:jc w:val="center"/>
            </w:pPr>
            <w:r>
              <w:rPr>
                <w:rFonts w:ascii="Times New Roman" w:hAnsi="Times New Roman"/>
                <w:sz w:val="16"/>
              </w:rPr>
            </w:r>
            <w:r>
              <w:rPr>
                <w:rFonts w:ascii="Times New Roman" w:hAnsi="Times New Roman"/>
                <w:b w:val="0"/>
                <w:sz w:val="16"/>
              </w:rPr>
              <w:t>0.2738</w:t>
            </w:r>
          </w:p>
        </w:tc>
        <w:tc>
          <w:tcPr>
            <w:tcW w:type="dxa" w:w="1303"/>
          </w:tcPr>
          <w:p>
            <w:pPr>
              <w:spacing w:before="20" w:after="20"/>
              <w:jc w:val="center"/>
            </w:pPr>
            <w:r>
              <w:rPr>
                <w:rFonts w:ascii="Times New Roman" w:hAnsi="Times New Roman"/>
                <w:sz w:val="16"/>
              </w:rPr>
            </w:r>
            <w:r>
              <w:rPr>
                <w:rFonts w:ascii="Times New Roman" w:hAnsi="Times New Roman"/>
                <w:b w:val="0"/>
                <w:sz w:val="16"/>
              </w:rPr>
              <w:t>0.2740</w:t>
            </w:r>
          </w:p>
        </w:tc>
      </w:tr>
      <w:tr>
        <w:tc>
          <w:tcPr>
            <w:tcW w:type="dxa" w:w="2318"/>
          </w:tcPr>
          <w:p>
            <w:pPr>
              <w:spacing w:before="20" w:after="20"/>
              <w:jc w:val="left"/>
            </w:pPr>
            <w:r>
              <w:rPr>
                <w:rFonts w:ascii="Times New Roman" w:hAnsi="Times New Roman"/>
                <w:sz w:val="16"/>
              </w:rPr>
            </w:r>
            <w:r>
              <w:rPr>
                <w:rFonts w:ascii="Times New Roman" w:hAnsi="Times New Roman"/>
                <w:b/>
                <w:sz w:val="16"/>
              </w:rPr>
              <w:t>ResNet50 gap</w:t>
            </w:r>
          </w:p>
        </w:tc>
        <w:tc>
          <w:tcPr>
            <w:tcW w:type="dxa" w:w="1304"/>
          </w:tcPr>
          <w:p>
            <w:pPr>
              <w:spacing w:before="20" w:after="20"/>
              <w:jc w:val="center"/>
            </w:pPr>
            <w:r>
              <w:rPr>
                <w:rFonts w:ascii="Times New Roman" w:hAnsi="Times New Roman"/>
                <w:sz w:val="16"/>
              </w:rPr>
            </w:r>
            <w:r>
              <w:rPr>
                <w:rFonts w:ascii="Times New Roman" w:hAnsi="Times New Roman"/>
                <w:b/>
                <w:sz w:val="16"/>
              </w:rPr>
              <w:t>+0.1543</w:t>
            </w:r>
          </w:p>
        </w:tc>
        <w:tc>
          <w:tcPr>
            <w:tcW w:type="dxa" w:w="1303"/>
          </w:tcPr>
          <w:p>
            <w:pPr>
              <w:spacing w:before="20" w:after="20"/>
              <w:jc w:val="center"/>
            </w:pPr>
            <w:r>
              <w:rPr>
                <w:rFonts w:ascii="Times New Roman" w:hAnsi="Times New Roman"/>
                <w:sz w:val="16"/>
              </w:rPr>
            </w:r>
            <w:r>
              <w:rPr>
                <w:rFonts w:ascii="Times New Roman" w:hAnsi="Times New Roman"/>
                <w:b/>
                <w:sz w:val="16"/>
              </w:rPr>
              <w:t>+0.5960</w:t>
            </w:r>
          </w:p>
        </w:tc>
      </w:tr>
    </w:tbl>
    <w:p>
      <w:pPr>
        <w:pStyle w:val="Text"/>
        <w:spacing w:after="80"/>
      </w:pPr>
    </w:p>
    <w:p>
      <w:pPr>
        <w:pStyle w:val="Text"/>
      </w:pPr>
      <w:r>
        <w:rPr>
          <w:rFonts w:ascii="Times New Roman" w:hAnsi="Times New Roman"/>
          <w:b w:val="0"/>
        </w:rPr>
        <w:t xml:space="preserve">Lower is better for deletion, higher for insertion. </w:t>
      </w:r>
      <w:r>
        <w:rPr>
          <w:rFonts w:ascii="Times New Roman" w:hAnsi="Times New Roman"/>
          <w:b/>
        </w:rPr>
        <w:t>The raw AUCs are not comparable between the two models</w:t>
      </w:r>
      <w:r>
        <w:rPr>
          <w:rFonts w:ascii="Times New Roman" w:hAnsi="Times New Roman"/>
          <w:b w:val="0"/>
        </w:rPr>
        <w:t>, which is the first thing the table shows. ResNet50’s probability collapses far faster under random perturbation — its random insertion AUC is 0.2740 against 0.4364 — so its curves start from a different place. Reporting 0.8700 beside 0.7764 and concluding the larger model is better explained compares two quantities measured against different baselines. Only the gap is interpretable, and by that measure ResNet50 genuinely is better localised.</w:t>
      </w:r>
    </w:p>
    <w:p>
      <w:pPr>
        <w:pStyle w:val="Text"/>
      </w:pPr>
      <w:r>
        <w:rPr>
          <w:rFonts w:ascii="Times New Roman" w:hAnsi="Times New Roman"/>
          <w:b/>
        </w:rPr>
        <w:t>Insertion succeeds and deletion fails, on both models.</w:t>
      </w:r>
      <w:r>
        <w:rPr>
          <w:rFonts w:ascii="Times New Roman" w:hAnsi="Times New Roman"/>
          <w:b w:val="0"/>
        </w:rPr>
        <w:t xml:space="preserve"> Removing the highest-ranked pixels destroys the prediction no faster than removing random ones — slower, the deletion gap being positive when it should be negative. The two metrics are constructed to agree, and their disagreement requires explanation.</w:t>
      </w:r>
    </w:p>
    <w:p>
      <w:pPr>
        <w:pStyle w:val="Text"/>
      </w:pPr>
      <w:r>
        <w:rPr>
          <w:rFonts w:ascii="Times New Roman" w:hAnsi="Times New Roman"/>
          <w:b w:val="0"/>
        </w:rPr>
        <w:t xml:space="preserve">We supply one, and the second backbone turns it from conjecture into a tested prediction. Blanking pixels produces an image unlike any radiograph, so a probability that falls under deletion may report that the input is no longer a chest X-ray rather than that the evidence has been removed. Here that is measurable: </w:t>
      </w:r>
      <w:r>
        <w:rPr>
          <w:rFonts w:ascii="Times New Roman" w:hAnsi="Times New Roman"/>
          <w:b/>
        </w:rPr>
        <w:t>59.7% of ResNet18’s deletion steps and 72.6% of ResNet50’s are rejected as out-of-distribution by the respective model’s own Mahalanobis check.</w:t>
      </w:r>
      <w:r>
        <w:rPr>
          <w:rFonts w:ascii="Times New Roman" w:hAnsi="Times New Roman"/>
          <w:b w:val="0"/>
        </w:rPr>
        <w:t xml:space="preserve"> The model with more off-distribution perturbations has the more corrupted deletion result while being the better-localised model on insertion. Deletion and insertion rank the networks oppositely, and the rejection rate says which ranking to believe.</w:t>
      </w:r>
    </w:p>
    <w:p>
      <w:pPr>
        <w:pStyle w:val="Text"/>
      </w:pPr>
      <w:r>
        <w:rPr>
          <w:rFonts w:ascii="Times New Roman" w:hAnsi="Times New Roman"/>
          <w:b w:val="0"/>
        </w:rPr>
        <w:t>We therefore recommend that deletion-style metrics be reported alongside a distributional validity statistic, and that insertion be preferred where only one can be reported. The diagnostic costs nothing beyond a forward pass wherever an OOD detector is present.</w:t>
      </w:r>
    </w:p>
    <w:p>
      <w:pPr>
        <w:pStyle w:val="TableCaption"/>
        <w:spacing w:before="120" w:after="40"/>
        <w:jc w:val="center"/>
      </w:pPr>
      <w:r>
        <w:rPr>
          <w:rFonts w:ascii="Times New Roman" w:hAnsi="Times New Roman"/>
          <w:b/>
          <w:sz w:val="18"/>
        </w:rPr>
        <w:t>Table 7: Localisation within the lung fields</w:t>
      </w:r>
    </w:p>
    <w:tbl>
      <w:tblPr>
        <w:tblStyle w:val="TableGrid"/>
        <w:tblW w:type="dxa" w:w="4925"/>
        <w:tblLayout w:type="fixed"/>
        <w:tblLook w:firstColumn="1" w:firstRow="1" w:lastColumn="0" w:lastRow="0" w:noHBand="0" w:noVBand="1" w:val="04A0"/>
      </w:tblPr>
      <w:tblGrid>
        <w:gridCol w:w="2318"/>
        <w:gridCol w:w="1304"/>
        <w:gridCol w:w="1303"/>
      </w:tblGrid>
      <w:tr>
        <w:tc>
          <w:tcPr>
            <w:tcW w:type="dxa" w:w="2318"/>
          </w:tcPr>
          <w:p>
            <w:pPr>
              <w:spacing w:before="20" w:after="20"/>
              <w:jc w:val="center"/>
            </w:pPr>
            <w:r>
              <w:rPr>
                <w:rFonts w:ascii="Times New Roman" w:hAnsi="Times New Roman"/>
                <w:b/>
                <w:sz w:val="16"/>
              </w:rPr>
            </w:r>
            <w:r>
              <w:rPr>
                <w:rFonts w:ascii="Times New Roman" w:hAnsi="Times New Roman"/>
                <w:b/>
                <w:sz w:val="16"/>
              </w:rPr>
              <w:t>Quantity</w:t>
            </w:r>
          </w:p>
        </w:tc>
        <w:tc>
          <w:tcPr>
            <w:tcW w:type="dxa" w:w="1304"/>
          </w:tcPr>
          <w:p>
            <w:pPr>
              <w:spacing w:before="20" w:after="20"/>
              <w:jc w:val="center"/>
            </w:pPr>
            <w:r>
              <w:rPr>
                <w:rFonts w:ascii="Times New Roman" w:hAnsi="Times New Roman"/>
                <w:b/>
                <w:sz w:val="16"/>
              </w:rPr>
            </w:r>
            <w:r>
              <w:rPr>
                <w:rFonts w:ascii="Times New Roman" w:hAnsi="Times New Roman"/>
                <w:b/>
                <w:sz w:val="16"/>
              </w:rPr>
              <w:t>ResNet18</w:t>
            </w:r>
          </w:p>
        </w:tc>
        <w:tc>
          <w:tcPr>
            <w:tcW w:type="dxa" w:w="1303"/>
          </w:tcPr>
          <w:p>
            <w:pPr>
              <w:spacing w:before="20" w:after="20"/>
              <w:jc w:val="center"/>
            </w:pPr>
            <w:r>
              <w:rPr>
                <w:rFonts w:ascii="Times New Roman" w:hAnsi="Times New Roman"/>
                <w:b/>
                <w:sz w:val="16"/>
              </w:rPr>
            </w:r>
            <w:r>
              <w:rPr>
                <w:rFonts w:ascii="Times New Roman" w:hAnsi="Times New Roman"/>
                <w:b/>
                <w:sz w:val="16"/>
              </w:rPr>
              <w:t>ResNet50</w:t>
            </w:r>
          </w:p>
        </w:tc>
      </w:tr>
      <w:tr>
        <w:tc>
          <w:tcPr>
            <w:tcW w:type="dxa" w:w="2318"/>
          </w:tcPr>
          <w:p>
            <w:pPr>
              <w:spacing w:before="20" w:after="20"/>
              <w:jc w:val="left"/>
            </w:pPr>
            <w:r>
              <w:rPr>
                <w:rFonts w:ascii="Times New Roman" w:hAnsi="Times New Roman"/>
                <w:sz w:val="16"/>
              </w:rPr>
            </w:r>
            <w:r>
              <w:rPr>
                <w:rFonts w:ascii="Times New Roman" w:hAnsi="Times New Roman"/>
                <w:b w:val="0"/>
                <w:sz w:val="16"/>
              </w:rPr>
              <w:t>Mass inside lung fields</w:t>
            </w:r>
          </w:p>
        </w:tc>
        <w:tc>
          <w:tcPr>
            <w:tcW w:type="dxa" w:w="1304"/>
          </w:tcPr>
          <w:p>
            <w:pPr>
              <w:spacing w:before="20" w:after="20"/>
              <w:jc w:val="center"/>
            </w:pPr>
            <w:r>
              <w:rPr>
                <w:rFonts w:ascii="Times New Roman" w:hAnsi="Times New Roman"/>
                <w:sz w:val="16"/>
              </w:rPr>
            </w:r>
            <w:r>
              <w:rPr>
                <w:rFonts w:ascii="Times New Roman" w:hAnsi="Times New Roman"/>
                <w:b w:val="0"/>
                <w:sz w:val="16"/>
              </w:rPr>
              <w:t>0.324</w:t>
            </w:r>
          </w:p>
        </w:tc>
        <w:tc>
          <w:tcPr>
            <w:tcW w:type="dxa" w:w="1303"/>
          </w:tcPr>
          <w:p>
            <w:pPr>
              <w:spacing w:before="20" w:after="20"/>
              <w:jc w:val="center"/>
            </w:pPr>
            <w:r>
              <w:rPr>
                <w:rFonts w:ascii="Times New Roman" w:hAnsi="Times New Roman"/>
                <w:sz w:val="16"/>
              </w:rPr>
            </w:r>
            <w:r>
              <w:rPr>
                <w:rFonts w:ascii="Times New Roman" w:hAnsi="Times New Roman"/>
                <w:b w:val="0"/>
                <w:sz w:val="16"/>
              </w:rPr>
              <w:t>0.304</w:t>
            </w:r>
          </w:p>
        </w:tc>
      </w:tr>
      <w:tr>
        <w:tc>
          <w:tcPr>
            <w:tcW w:type="dxa" w:w="2318"/>
          </w:tcPr>
          <w:p>
            <w:pPr>
              <w:spacing w:before="20" w:after="20"/>
              <w:jc w:val="left"/>
            </w:pPr>
            <w:r>
              <w:rPr>
                <w:rFonts w:ascii="Times New Roman" w:hAnsi="Times New Roman"/>
                <w:sz w:val="16"/>
              </w:rPr>
            </w:r>
            <w:r>
              <w:rPr>
                <w:rFonts w:ascii="Times New Roman" w:hAnsi="Times New Roman"/>
                <w:b w:val="0"/>
                <w:sz w:val="16"/>
              </w:rPr>
              <w:t>Lung share of image area</w:t>
            </w:r>
          </w:p>
        </w:tc>
        <w:tc>
          <w:tcPr>
            <w:tcW w:type="dxa" w:w="1304"/>
          </w:tcPr>
          <w:p>
            <w:pPr>
              <w:spacing w:before="20" w:after="20"/>
              <w:jc w:val="center"/>
            </w:pPr>
            <w:r>
              <w:rPr>
                <w:rFonts w:ascii="Times New Roman" w:hAnsi="Times New Roman"/>
                <w:sz w:val="16"/>
              </w:rPr>
            </w:r>
            <w:r>
              <w:rPr>
                <w:rFonts w:ascii="Times New Roman" w:hAnsi="Times New Roman"/>
                <w:b w:val="0"/>
                <w:sz w:val="16"/>
              </w:rPr>
              <w:t>0.238</w:t>
            </w:r>
          </w:p>
        </w:tc>
        <w:tc>
          <w:tcPr>
            <w:tcW w:type="dxa" w:w="1303"/>
          </w:tcPr>
          <w:p>
            <w:pPr>
              <w:spacing w:before="20" w:after="20"/>
              <w:jc w:val="center"/>
            </w:pPr>
            <w:r>
              <w:rPr>
                <w:rFonts w:ascii="Times New Roman" w:hAnsi="Times New Roman"/>
                <w:sz w:val="16"/>
              </w:rPr>
            </w:r>
            <w:r>
              <w:rPr>
                <w:rFonts w:ascii="Times New Roman" w:hAnsi="Times New Roman"/>
                <w:b w:val="0"/>
                <w:sz w:val="16"/>
              </w:rPr>
              <w:t>0.238</w:t>
            </w:r>
          </w:p>
        </w:tc>
      </w:tr>
      <w:tr>
        <w:tc>
          <w:tcPr>
            <w:tcW w:type="dxa" w:w="2318"/>
          </w:tcPr>
          <w:p>
            <w:pPr>
              <w:spacing w:before="20" w:after="20"/>
              <w:jc w:val="left"/>
            </w:pPr>
            <w:r>
              <w:rPr>
                <w:rFonts w:ascii="Times New Roman" w:hAnsi="Times New Roman"/>
                <w:sz w:val="16"/>
              </w:rPr>
            </w:r>
            <w:r>
              <w:rPr>
                <w:rFonts w:ascii="Times New Roman" w:hAnsi="Times New Roman"/>
                <w:b/>
                <w:sz w:val="16"/>
              </w:rPr>
              <w:t>Enrichment</w:t>
            </w:r>
          </w:p>
        </w:tc>
        <w:tc>
          <w:tcPr>
            <w:tcW w:type="dxa" w:w="1304"/>
          </w:tcPr>
          <w:p>
            <w:pPr>
              <w:spacing w:before="20" w:after="20"/>
              <w:jc w:val="center"/>
            </w:pPr>
            <w:r>
              <w:rPr>
                <w:rFonts w:ascii="Times New Roman" w:hAnsi="Times New Roman"/>
                <w:sz w:val="16"/>
              </w:rPr>
            </w:r>
            <w:r>
              <w:rPr>
                <w:rFonts w:ascii="Times New Roman" w:hAnsi="Times New Roman"/>
                <w:b/>
                <w:sz w:val="16"/>
              </w:rPr>
              <w:t>1.359</w:t>
            </w:r>
          </w:p>
        </w:tc>
        <w:tc>
          <w:tcPr>
            <w:tcW w:type="dxa" w:w="1303"/>
          </w:tcPr>
          <w:p>
            <w:pPr>
              <w:spacing w:before="20" w:after="20"/>
              <w:jc w:val="center"/>
            </w:pPr>
            <w:r>
              <w:rPr>
                <w:rFonts w:ascii="Times New Roman" w:hAnsi="Times New Roman"/>
                <w:sz w:val="16"/>
              </w:rPr>
            </w:r>
            <w:r>
              <w:rPr>
                <w:rFonts w:ascii="Times New Roman" w:hAnsi="Times New Roman"/>
                <w:b/>
                <w:sz w:val="16"/>
              </w:rPr>
              <w:t>1.274</w:t>
            </w:r>
          </w:p>
        </w:tc>
      </w:tr>
    </w:tbl>
    <w:p>
      <w:pPr>
        <w:pStyle w:val="Text"/>
        <w:spacing w:after="80"/>
      </w:pPr>
    </w:p>
    <w:p>
      <w:pPr>
        <w:pStyle w:val="Text"/>
      </w:pPr>
      <w:r>
        <w:rPr>
          <w:rFonts w:ascii="Times New Roman" w:hAnsi="Times New Roman"/>
          <w:b w:val="0"/>
        </w:rPr>
        <w:t>Both models’ heatmaps concentrate on the lungs modestly — 1.36 and 1.27 times what an uninformative map achieves. Note that the larger model, better localised on insertion, is slightly worse by this measure: lung-field containment and evidence localisation are different properties.</w:t>
      </w:r>
    </w:p>
    <w:p>
      <w:pPr>
        <w:pStyle w:val="Heading2"/>
        <w:jc w:val="left"/>
      </w:pPr>
      <w:r>
        <w:rPr>
          <w:rFonts w:ascii="Times New Roman" w:hAnsi="Times New Roman"/>
          <w:b/>
          <w:sz w:val="21"/>
        </w:rPr>
        <w:t>4.4 Attribution Consistency and Compactness</w:t>
      </w:r>
    </w:p>
    <w:p>
      <w:pPr>
        <w:pStyle w:val="TableCaption"/>
        <w:spacing w:before="120" w:after="40"/>
        <w:jc w:val="center"/>
      </w:pPr>
      <w:r>
        <w:rPr>
          <w:rFonts w:ascii="Times New Roman" w:hAnsi="Times New Roman"/>
          <w:b/>
          <w:sz w:val="18"/>
        </w:rPr>
        <w:t>Table 8: SHAP vector similarity, same 200 images</w:t>
      </w:r>
    </w:p>
    <w:tbl>
      <w:tblPr>
        <w:tblStyle w:val="TableGrid"/>
        <w:tblW w:type="dxa" w:w="4925"/>
        <w:tblLayout w:type="fixed"/>
        <w:tblLook w:firstColumn="1" w:firstRow="1" w:lastColumn="0" w:lastRow="0" w:noHBand="0" w:noVBand="1" w:val="04A0"/>
      </w:tblPr>
      <w:tblGrid>
        <w:gridCol w:w="2173"/>
        <w:gridCol w:w="1376"/>
        <w:gridCol w:w="1376"/>
      </w:tblGrid>
      <w:tr>
        <w:tc>
          <w:tcPr>
            <w:tcW w:type="dxa" w:w="2173"/>
          </w:tcPr>
          <w:p>
            <w:pPr>
              <w:spacing w:before="20" w:after="20"/>
              <w:jc w:val="center"/>
            </w:pPr>
            <w:r>
              <w:rPr>
                <w:rFonts w:ascii="Times New Roman" w:hAnsi="Times New Roman"/>
                <w:b/>
                <w:sz w:val="16"/>
              </w:rPr>
            </w:r>
            <w:r>
              <w:rPr>
                <w:rFonts w:ascii="Times New Roman" w:hAnsi="Times New Roman"/>
                <w:b/>
                <w:sz w:val="16"/>
              </w:rPr>
              <w:t>Mean pairwise cosine</w:t>
            </w:r>
          </w:p>
        </w:tc>
        <w:tc>
          <w:tcPr>
            <w:tcW w:type="dxa" w:w="1376"/>
          </w:tcPr>
          <w:p>
            <w:pPr>
              <w:spacing w:before="20" w:after="20"/>
              <w:jc w:val="center"/>
            </w:pPr>
            <w:r>
              <w:rPr>
                <w:rFonts w:ascii="Times New Roman" w:hAnsi="Times New Roman"/>
                <w:b/>
                <w:sz w:val="16"/>
              </w:rPr>
            </w:r>
            <w:r>
              <w:rPr>
                <w:rFonts w:ascii="Times New Roman" w:hAnsi="Times New Roman"/>
                <w:b/>
                <w:sz w:val="16"/>
              </w:rPr>
              <w:t>R18 (512-d)</w:t>
            </w:r>
          </w:p>
        </w:tc>
        <w:tc>
          <w:tcPr>
            <w:tcW w:type="dxa" w:w="1376"/>
          </w:tcPr>
          <w:p>
            <w:pPr>
              <w:spacing w:before="20" w:after="20"/>
              <w:jc w:val="center"/>
            </w:pPr>
            <w:r>
              <w:rPr>
                <w:rFonts w:ascii="Times New Roman" w:hAnsi="Times New Roman"/>
                <w:b/>
                <w:sz w:val="16"/>
              </w:rPr>
            </w:r>
            <w:r>
              <w:rPr>
                <w:rFonts w:ascii="Times New Roman" w:hAnsi="Times New Roman"/>
                <w:b/>
                <w:sz w:val="16"/>
              </w:rPr>
              <w:t>R50 (2048-d)</w:t>
            </w:r>
          </w:p>
        </w:tc>
      </w:tr>
      <w:tr>
        <w:tc>
          <w:tcPr>
            <w:tcW w:type="dxa" w:w="2173"/>
          </w:tcPr>
          <w:p>
            <w:pPr>
              <w:spacing w:before="20" w:after="20"/>
              <w:jc w:val="left"/>
            </w:pPr>
            <w:r>
              <w:rPr>
                <w:rFonts w:ascii="Times New Roman" w:hAnsi="Times New Roman"/>
                <w:sz w:val="16"/>
              </w:rPr>
            </w:r>
            <w:r>
              <w:rPr>
                <w:rFonts w:ascii="Times New Roman" w:hAnsi="Times New Roman"/>
                <w:b w:val="0"/>
                <w:sz w:val="16"/>
              </w:rPr>
              <w:t>Within class</w:t>
            </w:r>
          </w:p>
        </w:tc>
        <w:tc>
          <w:tcPr>
            <w:tcW w:type="dxa" w:w="1376"/>
          </w:tcPr>
          <w:p>
            <w:pPr>
              <w:spacing w:before="20" w:after="20"/>
              <w:jc w:val="center"/>
            </w:pPr>
            <w:r>
              <w:rPr>
                <w:rFonts w:ascii="Times New Roman" w:hAnsi="Times New Roman"/>
                <w:sz w:val="16"/>
              </w:rPr>
            </w:r>
            <w:r>
              <w:rPr>
                <w:rFonts w:ascii="Times New Roman" w:hAnsi="Times New Roman"/>
                <w:b w:val="0"/>
                <w:sz w:val="16"/>
              </w:rPr>
              <w:t>0.6076</w:t>
            </w:r>
          </w:p>
        </w:tc>
        <w:tc>
          <w:tcPr>
            <w:tcW w:type="dxa" w:w="1376"/>
          </w:tcPr>
          <w:p>
            <w:pPr>
              <w:spacing w:before="20" w:after="20"/>
              <w:jc w:val="center"/>
            </w:pPr>
            <w:r>
              <w:rPr>
                <w:rFonts w:ascii="Times New Roman" w:hAnsi="Times New Roman"/>
                <w:sz w:val="16"/>
              </w:rPr>
            </w:r>
            <w:r>
              <w:rPr>
                <w:rFonts w:ascii="Times New Roman" w:hAnsi="Times New Roman"/>
                <w:b w:val="0"/>
                <w:sz w:val="16"/>
              </w:rPr>
              <w:t>0.3118</w:t>
            </w:r>
          </w:p>
        </w:tc>
      </w:tr>
      <w:tr>
        <w:tc>
          <w:tcPr>
            <w:tcW w:type="dxa" w:w="2173"/>
          </w:tcPr>
          <w:p>
            <w:pPr>
              <w:spacing w:before="20" w:after="20"/>
              <w:jc w:val="left"/>
            </w:pPr>
            <w:r>
              <w:rPr>
                <w:rFonts w:ascii="Times New Roman" w:hAnsi="Times New Roman"/>
                <w:sz w:val="16"/>
              </w:rPr>
            </w:r>
            <w:r>
              <w:rPr>
                <w:rFonts w:ascii="Times New Roman" w:hAnsi="Times New Roman"/>
                <w:b w:val="0"/>
                <w:sz w:val="16"/>
              </w:rPr>
              <w:t>All pairs (control)</w:t>
            </w:r>
          </w:p>
        </w:tc>
        <w:tc>
          <w:tcPr>
            <w:tcW w:type="dxa" w:w="1376"/>
          </w:tcPr>
          <w:p>
            <w:pPr>
              <w:spacing w:before="20" w:after="20"/>
              <w:jc w:val="center"/>
            </w:pPr>
            <w:r>
              <w:rPr>
                <w:rFonts w:ascii="Times New Roman" w:hAnsi="Times New Roman"/>
                <w:sz w:val="16"/>
              </w:rPr>
            </w:r>
            <w:r>
              <w:rPr>
                <w:rFonts w:ascii="Times New Roman" w:hAnsi="Times New Roman"/>
                <w:b w:val="0"/>
                <w:sz w:val="16"/>
              </w:rPr>
              <w:t>0.3142</w:t>
            </w:r>
          </w:p>
        </w:tc>
        <w:tc>
          <w:tcPr>
            <w:tcW w:type="dxa" w:w="1376"/>
          </w:tcPr>
          <w:p>
            <w:pPr>
              <w:spacing w:before="20" w:after="20"/>
              <w:jc w:val="center"/>
            </w:pPr>
            <w:r>
              <w:rPr>
                <w:rFonts w:ascii="Times New Roman" w:hAnsi="Times New Roman"/>
                <w:sz w:val="16"/>
              </w:rPr>
            </w:r>
            <w:r>
              <w:rPr>
                <w:rFonts w:ascii="Times New Roman" w:hAnsi="Times New Roman"/>
                <w:b w:val="0"/>
                <w:sz w:val="16"/>
              </w:rPr>
              <w:t>0.1479</w:t>
            </w:r>
          </w:p>
        </w:tc>
      </w:tr>
      <w:tr>
        <w:tc>
          <w:tcPr>
            <w:tcW w:type="dxa" w:w="2173"/>
          </w:tcPr>
          <w:p>
            <w:pPr>
              <w:spacing w:before="20" w:after="20"/>
              <w:jc w:val="left"/>
            </w:pPr>
            <w:r>
              <w:rPr>
                <w:rFonts w:ascii="Times New Roman" w:hAnsi="Times New Roman"/>
                <w:sz w:val="16"/>
              </w:rPr>
            </w:r>
            <w:r>
              <w:rPr>
                <w:rFonts w:ascii="Times New Roman" w:hAnsi="Times New Roman"/>
                <w:b/>
                <w:sz w:val="16"/>
              </w:rPr>
              <w:t>Ratio</w:t>
            </w:r>
          </w:p>
        </w:tc>
        <w:tc>
          <w:tcPr>
            <w:tcW w:type="dxa" w:w="1376"/>
          </w:tcPr>
          <w:p>
            <w:pPr>
              <w:spacing w:before="20" w:after="20"/>
              <w:jc w:val="center"/>
            </w:pPr>
            <w:r>
              <w:rPr>
                <w:rFonts w:ascii="Times New Roman" w:hAnsi="Times New Roman"/>
                <w:sz w:val="16"/>
              </w:rPr>
            </w:r>
            <w:r>
              <w:rPr>
                <w:rFonts w:ascii="Times New Roman" w:hAnsi="Times New Roman"/>
                <w:b/>
                <w:sz w:val="16"/>
              </w:rPr>
              <w:t>1.93</w:t>
            </w:r>
          </w:p>
        </w:tc>
        <w:tc>
          <w:tcPr>
            <w:tcW w:type="dxa" w:w="1376"/>
          </w:tcPr>
          <w:p>
            <w:pPr>
              <w:spacing w:before="20" w:after="20"/>
              <w:jc w:val="center"/>
            </w:pPr>
            <w:r>
              <w:rPr>
                <w:rFonts w:ascii="Times New Roman" w:hAnsi="Times New Roman"/>
                <w:sz w:val="16"/>
              </w:rPr>
            </w:r>
            <w:r>
              <w:rPr>
                <w:rFonts w:ascii="Times New Roman" w:hAnsi="Times New Roman"/>
                <w:b/>
                <w:sz w:val="16"/>
              </w:rPr>
              <w:t>2.11</w:t>
            </w:r>
          </w:p>
        </w:tc>
      </w:tr>
    </w:tbl>
    <w:p>
      <w:pPr>
        <w:pStyle w:val="Text"/>
        <w:spacing w:after="80"/>
      </w:pPr>
    </w:p>
    <w:p>
      <w:pPr>
        <w:pStyle w:val="Text"/>
      </w:pPr>
      <w:r>
        <w:rPr>
          <w:rFonts w:ascii="Times New Roman" w:hAnsi="Times New Roman"/>
          <w:b/>
        </w:rPr>
        <w:t>The absolute figures halve between the two models and the ratio does not move.</w:t>
      </w:r>
      <w:r>
        <w:rPr>
          <w:rFonts w:ascii="Times New Roman" w:hAnsi="Times New Roman"/>
          <w:b w:val="0"/>
        </w:rPr>
        <w:t xml:space="preserve"> Cosine similarity between high-dimensional vectors falls as dimension rises, so a within-class cosine of 0.31 read alone would suggest ResNet50’s explanations are half as consistent. Measured against its own control the consistency is if anything marginally higher. </w:t>
      </w:r>
      <w:r>
        <w:rPr>
          <w:rFonts w:ascii="Times New Roman" w:hAnsi="Times New Roman"/>
          <w:b/>
        </w:rPr>
        <w:t>An absolute attribution-similarity figure is not comparable across architectures and should not be reported without its null.</w:t>
      </w:r>
    </w:p>
    <w:p>
      <w:pPr>
        <w:pStyle w:val="Text"/>
      </w:pPr>
      <w:r>
        <w:rPr>
          <w:rFonts w:ascii="Times New Roman" w:hAnsi="Times New Roman"/>
          <w:b w:val="0"/>
        </w:rPr>
        <w:t>The control is also necessary within a single model. Every SHAP vector here is w ⊙ (x − E[x]) for one shared w, so any two vectors agree in direction before anything about the images is considered. At roughly twice the control on both networks, the within-class consistency is real.</w:t>
      </w:r>
    </w:p>
    <w:p>
      <w:pPr>
        <w:pStyle w:val="TableCaption"/>
        <w:spacing w:before="120" w:after="40"/>
        <w:jc w:val="center"/>
      </w:pPr>
      <w:r>
        <w:rPr>
          <w:rFonts w:ascii="Times New Roman" w:hAnsi="Times New Roman"/>
          <w:b/>
          <w:sz w:val="18"/>
        </w:rPr>
        <w:t>Table 9: Attribution compactness, fifteen largest contributions</w:t>
      </w:r>
    </w:p>
    <w:tbl>
      <w:tblPr>
        <w:tblStyle w:val="TableGrid"/>
        <w:tblW w:type="dxa" w:w="4925"/>
        <w:tblLayout w:type="fixed"/>
        <w:tblLook w:firstColumn="1" w:firstRow="1" w:lastColumn="0" w:lastRow="0" w:noHBand="0" w:noVBand="1" w:val="04A0"/>
      </w:tblPr>
      <w:tblGrid>
        <w:gridCol w:w="2173"/>
        <w:gridCol w:w="1376"/>
        <w:gridCol w:w="1376"/>
      </w:tblGrid>
      <w:tr>
        <w:tc>
          <w:tcPr>
            <w:tcW w:type="dxa" w:w="2173"/>
          </w:tcPr>
          <w:p>
            <w:pPr>
              <w:spacing w:before="20" w:after="20"/>
              <w:jc w:val="center"/>
            </w:pPr>
            <w:r>
              <w:rPr>
                <w:rFonts w:ascii="Times New Roman" w:hAnsi="Times New Roman"/>
                <w:b/>
                <w:sz w:val="16"/>
              </w:rPr>
            </w:r>
            <w:r>
              <w:rPr>
                <w:rFonts w:ascii="Times New Roman" w:hAnsi="Times New Roman"/>
                <w:b/>
                <w:sz w:val="16"/>
              </w:rPr>
              <w:t>Quantity</w:t>
            </w:r>
          </w:p>
        </w:tc>
        <w:tc>
          <w:tcPr>
            <w:tcW w:type="dxa" w:w="1376"/>
          </w:tcPr>
          <w:p>
            <w:pPr>
              <w:spacing w:before="20" w:after="20"/>
              <w:jc w:val="center"/>
            </w:pPr>
            <w:r>
              <w:rPr>
                <w:rFonts w:ascii="Times New Roman" w:hAnsi="Times New Roman"/>
                <w:b/>
                <w:sz w:val="16"/>
              </w:rPr>
            </w:r>
            <w:r>
              <w:rPr>
                <w:rFonts w:ascii="Times New Roman" w:hAnsi="Times New Roman"/>
                <w:b/>
                <w:sz w:val="16"/>
              </w:rPr>
              <w:t>ResNet18</w:t>
            </w:r>
          </w:p>
        </w:tc>
        <w:tc>
          <w:tcPr>
            <w:tcW w:type="dxa" w:w="1376"/>
          </w:tcPr>
          <w:p>
            <w:pPr>
              <w:spacing w:before="20" w:after="20"/>
              <w:jc w:val="center"/>
            </w:pPr>
            <w:r>
              <w:rPr>
                <w:rFonts w:ascii="Times New Roman" w:hAnsi="Times New Roman"/>
                <w:b/>
                <w:sz w:val="16"/>
              </w:rPr>
            </w:r>
            <w:r>
              <w:rPr>
                <w:rFonts w:ascii="Times New Roman" w:hAnsi="Times New Roman"/>
                <w:b/>
                <w:sz w:val="16"/>
              </w:rPr>
              <w:t>ResNet50</w:t>
            </w:r>
          </w:p>
        </w:tc>
      </w:tr>
      <w:tr>
        <w:tc>
          <w:tcPr>
            <w:tcW w:type="dxa" w:w="2173"/>
          </w:tcPr>
          <w:p>
            <w:pPr>
              <w:spacing w:before="20" w:after="20"/>
              <w:jc w:val="left"/>
            </w:pPr>
            <w:r>
              <w:rPr>
                <w:rFonts w:ascii="Times New Roman" w:hAnsi="Times New Roman"/>
                <w:sz w:val="16"/>
              </w:rPr>
            </w:r>
            <w:r>
              <w:rPr>
                <w:rFonts w:ascii="Times New Roman" w:hAnsi="Times New Roman"/>
                <w:b w:val="0"/>
                <w:sz w:val="16"/>
              </w:rPr>
              <w:t>Top-15 coverage</w:t>
            </w:r>
          </w:p>
        </w:tc>
        <w:tc>
          <w:tcPr>
            <w:tcW w:type="dxa" w:w="1376"/>
          </w:tcPr>
          <w:p>
            <w:pPr>
              <w:spacing w:before="20" w:after="20"/>
              <w:jc w:val="center"/>
            </w:pPr>
            <w:r>
              <w:rPr>
                <w:rFonts w:ascii="Times New Roman" w:hAnsi="Times New Roman"/>
                <w:sz w:val="16"/>
              </w:rPr>
            </w:r>
            <w:r>
              <w:rPr>
                <w:rFonts w:ascii="Times New Roman" w:hAnsi="Times New Roman"/>
                <w:b w:val="0"/>
                <w:sz w:val="16"/>
              </w:rPr>
              <w:t>15.1%</w:t>
            </w:r>
          </w:p>
        </w:tc>
        <w:tc>
          <w:tcPr>
            <w:tcW w:type="dxa" w:w="1376"/>
          </w:tcPr>
          <w:p>
            <w:pPr>
              <w:spacing w:before="20" w:after="20"/>
              <w:jc w:val="center"/>
            </w:pPr>
            <w:r>
              <w:rPr>
                <w:rFonts w:ascii="Times New Roman" w:hAnsi="Times New Roman"/>
                <w:sz w:val="16"/>
              </w:rPr>
            </w:r>
            <w:r>
              <w:rPr>
                <w:rFonts w:ascii="Times New Roman" w:hAnsi="Times New Roman"/>
                <w:b w:val="0"/>
                <w:sz w:val="16"/>
              </w:rPr>
              <w:t>14.2%</w:t>
            </w:r>
          </w:p>
        </w:tc>
      </w:tr>
      <w:tr>
        <w:tc>
          <w:tcPr>
            <w:tcW w:type="dxa" w:w="2173"/>
          </w:tcPr>
          <w:p>
            <w:pPr>
              <w:spacing w:before="20" w:after="20"/>
              <w:jc w:val="left"/>
            </w:pPr>
            <w:r>
              <w:rPr>
                <w:rFonts w:ascii="Times New Roman" w:hAnsi="Times New Roman"/>
                <w:sz w:val="16"/>
              </w:rPr>
            </w:r>
            <w:r>
              <w:rPr>
                <w:rFonts w:ascii="Times New Roman" w:hAnsi="Times New Roman"/>
                <w:b w:val="0"/>
                <w:sz w:val="16"/>
              </w:rPr>
              <w:t>Features</w:t>
            </w:r>
          </w:p>
        </w:tc>
        <w:tc>
          <w:tcPr>
            <w:tcW w:type="dxa" w:w="1376"/>
          </w:tcPr>
          <w:p>
            <w:pPr>
              <w:spacing w:before="20" w:after="20"/>
              <w:jc w:val="center"/>
            </w:pPr>
            <w:r>
              <w:rPr>
                <w:rFonts w:ascii="Times New Roman" w:hAnsi="Times New Roman"/>
                <w:sz w:val="16"/>
              </w:rPr>
            </w:r>
            <w:r>
              <w:rPr>
                <w:rFonts w:ascii="Times New Roman" w:hAnsi="Times New Roman"/>
                <w:b w:val="0"/>
                <w:sz w:val="16"/>
              </w:rPr>
              <w:t>512</w:t>
            </w:r>
          </w:p>
        </w:tc>
        <w:tc>
          <w:tcPr>
            <w:tcW w:type="dxa" w:w="1376"/>
          </w:tcPr>
          <w:p>
            <w:pPr>
              <w:spacing w:before="20" w:after="20"/>
              <w:jc w:val="center"/>
            </w:pPr>
            <w:r>
              <w:rPr>
                <w:rFonts w:ascii="Times New Roman" w:hAnsi="Times New Roman"/>
                <w:sz w:val="16"/>
              </w:rPr>
            </w:r>
            <w:r>
              <w:rPr>
                <w:rFonts w:ascii="Times New Roman" w:hAnsi="Times New Roman"/>
                <w:b w:val="0"/>
                <w:sz w:val="16"/>
              </w:rPr>
              <w:t>2048</w:t>
            </w:r>
          </w:p>
        </w:tc>
      </w:tr>
      <w:tr>
        <w:tc>
          <w:tcPr>
            <w:tcW w:type="dxa" w:w="2173"/>
          </w:tcPr>
          <w:p>
            <w:pPr>
              <w:spacing w:before="20" w:after="20"/>
              <w:jc w:val="left"/>
            </w:pPr>
            <w:r>
              <w:rPr>
                <w:rFonts w:ascii="Times New Roman" w:hAnsi="Times New Roman"/>
                <w:sz w:val="16"/>
              </w:rPr>
            </w:r>
            <w:r>
              <w:rPr>
                <w:rFonts w:ascii="Times New Roman" w:hAnsi="Times New Roman"/>
                <w:b w:val="0"/>
                <w:sz w:val="16"/>
              </w:rPr>
              <w:t>Uniform expectation</w:t>
            </w:r>
          </w:p>
        </w:tc>
        <w:tc>
          <w:tcPr>
            <w:tcW w:type="dxa" w:w="1376"/>
          </w:tcPr>
          <w:p>
            <w:pPr>
              <w:spacing w:before="20" w:after="20"/>
              <w:jc w:val="center"/>
            </w:pPr>
            <w:r>
              <w:rPr>
                <w:rFonts w:ascii="Times New Roman" w:hAnsi="Times New Roman"/>
                <w:sz w:val="16"/>
              </w:rPr>
            </w:r>
            <w:r>
              <w:rPr>
                <w:rFonts w:ascii="Times New Roman" w:hAnsi="Times New Roman"/>
                <w:b w:val="0"/>
                <w:sz w:val="16"/>
              </w:rPr>
              <w:t>2.93%</w:t>
            </w:r>
          </w:p>
        </w:tc>
        <w:tc>
          <w:tcPr>
            <w:tcW w:type="dxa" w:w="1376"/>
          </w:tcPr>
          <w:p>
            <w:pPr>
              <w:spacing w:before="20" w:after="20"/>
              <w:jc w:val="center"/>
            </w:pPr>
            <w:r>
              <w:rPr>
                <w:rFonts w:ascii="Times New Roman" w:hAnsi="Times New Roman"/>
                <w:sz w:val="16"/>
              </w:rPr>
            </w:r>
            <w:r>
              <w:rPr>
                <w:rFonts w:ascii="Times New Roman" w:hAnsi="Times New Roman"/>
                <w:b w:val="0"/>
                <w:sz w:val="16"/>
              </w:rPr>
              <w:t>0.73%</w:t>
            </w:r>
          </w:p>
        </w:tc>
      </w:tr>
      <w:tr>
        <w:tc>
          <w:tcPr>
            <w:tcW w:type="dxa" w:w="2173"/>
          </w:tcPr>
          <w:p>
            <w:pPr>
              <w:spacing w:before="20" w:after="20"/>
              <w:jc w:val="left"/>
            </w:pPr>
            <w:r>
              <w:rPr>
                <w:rFonts w:ascii="Times New Roman" w:hAnsi="Times New Roman"/>
                <w:sz w:val="16"/>
              </w:rPr>
            </w:r>
            <w:r>
              <w:rPr>
                <w:rFonts w:ascii="Times New Roman" w:hAnsi="Times New Roman"/>
                <w:b/>
                <w:sz w:val="16"/>
              </w:rPr>
              <w:t>Concentration</w:t>
            </w:r>
          </w:p>
        </w:tc>
        <w:tc>
          <w:tcPr>
            <w:tcW w:type="dxa" w:w="1376"/>
          </w:tcPr>
          <w:p>
            <w:pPr>
              <w:spacing w:before="20" w:after="20"/>
              <w:jc w:val="center"/>
            </w:pPr>
            <w:r>
              <w:rPr>
                <w:rFonts w:ascii="Times New Roman" w:hAnsi="Times New Roman"/>
                <w:sz w:val="16"/>
              </w:rPr>
            </w:r>
            <w:r>
              <w:rPr>
                <w:rFonts w:ascii="Times New Roman" w:hAnsi="Times New Roman"/>
                <w:b w:val="0"/>
                <w:sz w:val="16"/>
              </w:rPr>
              <w:t>5.2×</w:t>
            </w:r>
          </w:p>
        </w:tc>
        <w:tc>
          <w:tcPr>
            <w:tcW w:type="dxa" w:w="1376"/>
          </w:tcPr>
          <w:p>
            <w:pPr>
              <w:spacing w:before="20" w:after="20"/>
              <w:jc w:val="center"/>
            </w:pPr>
            <w:r>
              <w:rPr>
                <w:rFonts w:ascii="Times New Roman" w:hAnsi="Times New Roman"/>
                <w:sz w:val="16"/>
              </w:rPr>
            </w:r>
            <w:r>
              <w:rPr>
                <w:rFonts w:ascii="Times New Roman" w:hAnsi="Times New Roman"/>
                <w:b/>
                <w:sz w:val="16"/>
              </w:rPr>
              <w:t>19.3×</w:t>
            </w:r>
          </w:p>
        </w:tc>
      </w:tr>
    </w:tbl>
    <w:p>
      <w:pPr>
        <w:pStyle w:val="Text"/>
        <w:spacing w:after="80"/>
      </w:pPr>
    </w:p>
    <w:p>
      <w:pPr>
        <w:pStyle w:val="Text"/>
      </w:pPr>
      <w:r>
        <w:rPr>
          <w:rFonts w:ascii="Times New Roman" w:hAnsi="Times New Roman"/>
          <w:b w:val="0"/>
        </w:rPr>
        <w:t>The two models look alike in the first row and differ underneath it: ResNet50 spreads its attribution over four times as many features, so a comparable 14.2% in fifteen of them represents far greater concentration relative to chance.</w:t>
      </w:r>
    </w:p>
    <w:p>
      <w:pPr>
        <w:pStyle w:val="Text"/>
      </w:pPr>
      <w:r>
        <w:rPr>
          <w:rFonts w:ascii="Times New Roman" w:hAnsi="Times New Roman"/>
          <w:b w:val="0"/>
        </w:rPr>
        <w:t xml:space="preserve">This is the least comfortable result in the paper. </w:t>
      </w:r>
      <w:r>
        <w:rPr>
          <w:rFonts w:ascii="Times New Roman" w:hAnsi="Times New Roman"/>
          <w:b/>
        </w:rPr>
        <w:t>A bar chart of the fifteen largest SHAP values is a sample of the model’s reasoning, not a summary of it.</w:t>
      </w:r>
      <w:r>
        <w:rPr>
          <w:rFonts w:ascii="Times New Roman" w:hAnsi="Times New Roman"/>
          <w:b w:val="0"/>
        </w:rPr>
        <w:t xml:space="preserve"> A reader shown fifteen bars will reasonably infer they constitute the explanation; on either network they constitute about a seventh of it. Our /analyze endpoint returns this coverage fraction alongside the attributions so a client cannot present them as “the reason” without contradicting the payload it received, and we suggest any published per-prediction SHAP chart carry the equivalent figure.</w:t>
      </w:r>
    </w:p>
    <w:p>
      <w:pPr>
        <w:pStyle w:val="Heading2"/>
        <w:jc w:val="left"/>
      </w:pPr>
      <w:r>
        <w:rPr>
          <w:rFonts w:ascii="Times New Roman" w:hAnsi="Times New Roman"/>
          <w:b/>
          <w:sz w:val="21"/>
        </w:rPr>
        <w:t>4.5 The Provenance Confound</w:t>
      </w:r>
    </w:p>
    <w:p>
      <w:pPr>
        <w:pStyle w:val="Text"/>
      </w:pPr>
      <w:r>
        <w:rPr>
          <w:rFonts w:ascii="Times New Roman" w:hAnsi="Times New Roman"/>
          <w:b/>
        </w:rPr>
        <w:t>The classes in this dataset are separable by source before any lung is examined.</w:t>
      </w:r>
      <w:r>
        <w:rPr>
          <w:rFonts w:ascii="Times New Roman" w:hAnsi="Times New Roman"/>
          <w:b w:val="0"/>
        </w:rPr>
        <w:t xml:space="preserve"> Every COVID-19 image originates from BIMCV, Eurorad, SIRM or a GitHub collection; every normal and viral pneumonia image originates from Kaggle-hosted collections. The overlap is empty. Scanner, exposure, collimation, burned-in annotation and post-processing character all carry that origin, so a model can achieve a high score by identifying the repository rather than the disease, and would exhibit no symptom on any metric in Section 4.1.</w:t>
      </w:r>
    </w:p>
    <w:p>
      <w:pPr>
        <w:pStyle w:val="Text"/>
      </w:pPr>
      <w:r>
        <w:rPr>
          <w:rFonts w:ascii="Times New Roman" w:hAnsi="Times New Roman"/>
          <w:b/>
        </w:rPr>
        <w:t>The masking ablation.</w:t>
      </w:r>
      <w:r>
        <w:rPr>
          <w:rFonts w:ascii="Times New Roman" w:hAnsi="Times New Roman"/>
          <w:b w:val="0"/>
        </w:rPr>
        <w:t xml:space="preserve"> We retrained the identical recipe on a mirror of the same split with every non-lung pixel zeroed — approximately 77% of each image removed. The split is mirrored rather than redrawn, so the two runs differ in exactly one variable.</w:t>
      </w:r>
    </w:p>
    <w:p>
      <w:pPr>
        <w:pStyle w:val="TableCaption"/>
        <w:spacing w:before="120" w:after="40"/>
        <w:jc w:val="center"/>
      </w:pPr>
      <w:r>
        <w:rPr>
          <w:rFonts w:ascii="Times New Roman" w:hAnsi="Times New Roman"/>
          <w:b/>
          <w:sz w:val="18"/>
        </w:rPr>
        <w:t>Table 10: Cost of removing everything outside the lungs (ResNet18)</w:t>
      </w:r>
    </w:p>
    <w:tbl>
      <w:tblPr>
        <w:tblStyle w:val="TableGrid"/>
        <w:tblW w:type="dxa" w:w="4925"/>
        <w:tblLayout w:type="fixed"/>
        <w:tblLook w:firstColumn="1" w:firstRow="1" w:lastColumn="0" w:lastRow="0" w:noHBand="0" w:noVBand="1" w:val="04A0"/>
      </w:tblPr>
      <w:tblGrid>
        <w:gridCol w:w="1728"/>
        <w:gridCol w:w="1123"/>
        <w:gridCol w:w="1123"/>
        <w:gridCol w:w="951"/>
      </w:tblGrid>
      <w:tr>
        <w:tc>
          <w:tcPr>
            <w:tcW w:type="dxa" w:w="1728"/>
          </w:tcPr>
          <w:p>
            <w:pPr>
              <w:spacing w:before="20" w:after="20"/>
              <w:jc w:val="center"/>
            </w:pPr>
            <w:r>
              <w:rPr>
                <w:rFonts w:ascii="Times New Roman" w:hAnsi="Times New Roman"/>
                <w:b/>
                <w:sz w:val="16"/>
              </w:rPr>
            </w:r>
            <w:r>
              <w:rPr>
                <w:rFonts w:ascii="Times New Roman" w:hAnsi="Times New Roman"/>
                <w:b/>
                <w:sz w:val="16"/>
              </w:rPr>
              <w:t>Configuration</w:t>
            </w:r>
          </w:p>
        </w:tc>
        <w:tc>
          <w:tcPr>
            <w:tcW w:type="dxa" w:w="1123"/>
          </w:tcPr>
          <w:p>
            <w:pPr>
              <w:spacing w:before="20" w:after="20"/>
              <w:jc w:val="center"/>
            </w:pPr>
            <w:r>
              <w:rPr>
                <w:rFonts w:ascii="Times New Roman" w:hAnsi="Times New Roman"/>
                <w:b/>
                <w:sz w:val="16"/>
              </w:rPr>
            </w:r>
            <w:r>
              <w:rPr>
                <w:rFonts w:ascii="Times New Roman" w:hAnsi="Times New Roman"/>
                <w:b/>
                <w:sz w:val="16"/>
              </w:rPr>
              <w:t>Macro F1</w:t>
            </w:r>
          </w:p>
        </w:tc>
        <w:tc>
          <w:tcPr>
            <w:tcW w:type="dxa" w:w="1123"/>
          </w:tcPr>
          <w:p>
            <w:pPr>
              <w:spacing w:before="20" w:after="20"/>
              <w:jc w:val="center"/>
            </w:pPr>
            <w:r>
              <w:rPr>
                <w:rFonts w:ascii="Times New Roman" w:hAnsi="Times New Roman"/>
                <w:b/>
                <w:sz w:val="16"/>
              </w:rPr>
            </w:r>
            <w:r>
              <w:rPr>
                <w:rFonts w:ascii="Times New Roman" w:hAnsi="Times New Roman"/>
                <w:b/>
                <w:sz w:val="16"/>
              </w:rPr>
              <w:t>Accuracy</w:t>
            </w:r>
          </w:p>
        </w:tc>
        <w:tc>
          <w:tcPr>
            <w:tcW w:type="dxa" w:w="951"/>
          </w:tcPr>
          <w:p>
            <w:pPr>
              <w:spacing w:before="20" w:after="20"/>
              <w:jc w:val="center"/>
            </w:pPr>
            <w:r>
              <w:rPr>
                <w:rFonts w:ascii="Times New Roman" w:hAnsi="Times New Roman"/>
                <w:b/>
                <w:sz w:val="16"/>
              </w:rPr>
            </w:r>
            <w:r>
              <w:rPr>
                <w:rFonts w:ascii="Times New Roman" w:hAnsi="Times New Roman"/>
                <w:b/>
                <w:sz w:val="16"/>
              </w:rPr>
              <w:t>AUC</w:t>
            </w:r>
          </w:p>
        </w:tc>
      </w:tr>
      <w:tr>
        <w:tc>
          <w:tcPr>
            <w:tcW w:type="dxa" w:w="1728"/>
          </w:tcPr>
          <w:p>
            <w:pPr>
              <w:spacing w:before="20" w:after="20"/>
              <w:jc w:val="left"/>
            </w:pPr>
            <w:r>
              <w:rPr>
                <w:rFonts w:ascii="Times New Roman" w:hAnsi="Times New Roman"/>
                <w:sz w:val="16"/>
              </w:rPr>
            </w:r>
            <w:r>
              <w:rPr>
                <w:rFonts w:ascii="Times New Roman" w:hAnsi="Times New Roman"/>
                <w:b w:val="0"/>
                <w:sz w:val="16"/>
              </w:rPr>
              <w:t>As distributed</w:t>
            </w:r>
          </w:p>
        </w:tc>
        <w:tc>
          <w:tcPr>
            <w:tcW w:type="dxa" w:w="1123"/>
          </w:tcPr>
          <w:p>
            <w:pPr>
              <w:spacing w:before="20" w:after="20"/>
              <w:jc w:val="center"/>
            </w:pPr>
            <w:r>
              <w:rPr>
                <w:rFonts w:ascii="Times New Roman" w:hAnsi="Times New Roman"/>
                <w:sz w:val="16"/>
              </w:rPr>
            </w:r>
            <w:r>
              <w:rPr>
                <w:rFonts w:ascii="Times New Roman" w:hAnsi="Times New Roman"/>
                <w:b w:val="0"/>
                <w:sz w:val="16"/>
              </w:rPr>
              <w:t>0.9587</w:t>
            </w:r>
          </w:p>
        </w:tc>
        <w:tc>
          <w:tcPr>
            <w:tcW w:type="dxa" w:w="1123"/>
          </w:tcPr>
          <w:p>
            <w:pPr>
              <w:spacing w:before="20" w:after="20"/>
              <w:jc w:val="center"/>
            </w:pPr>
            <w:r>
              <w:rPr>
                <w:rFonts w:ascii="Times New Roman" w:hAnsi="Times New Roman"/>
                <w:sz w:val="16"/>
              </w:rPr>
            </w:r>
            <w:r>
              <w:rPr>
                <w:rFonts w:ascii="Times New Roman" w:hAnsi="Times New Roman"/>
                <w:b w:val="0"/>
                <w:sz w:val="16"/>
              </w:rPr>
              <w:t>0.9524</w:t>
            </w:r>
          </w:p>
        </w:tc>
        <w:tc>
          <w:tcPr>
            <w:tcW w:type="dxa" w:w="951"/>
          </w:tcPr>
          <w:p>
            <w:pPr>
              <w:spacing w:before="20" w:after="20"/>
              <w:jc w:val="center"/>
            </w:pPr>
            <w:r>
              <w:rPr>
                <w:rFonts w:ascii="Times New Roman" w:hAnsi="Times New Roman"/>
                <w:sz w:val="16"/>
              </w:rPr>
            </w:r>
            <w:r>
              <w:rPr>
                <w:rFonts w:ascii="Times New Roman" w:hAnsi="Times New Roman"/>
                <w:b w:val="0"/>
                <w:sz w:val="16"/>
              </w:rPr>
              <w:t>0.9928</w:t>
            </w:r>
          </w:p>
        </w:tc>
      </w:tr>
      <w:tr>
        <w:tc>
          <w:tcPr>
            <w:tcW w:type="dxa" w:w="1728"/>
          </w:tcPr>
          <w:p>
            <w:pPr>
              <w:spacing w:before="20" w:after="20"/>
              <w:jc w:val="left"/>
            </w:pPr>
            <w:r>
              <w:rPr>
                <w:rFonts w:ascii="Times New Roman" w:hAnsi="Times New Roman"/>
                <w:sz w:val="16"/>
              </w:rPr>
            </w:r>
            <w:r>
              <w:rPr>
                <w:rFonts w:ascii="Times New Roman" w:hAnsi="Times New Roman"/>
                <w:b w:val="0"/>
                <w:sz w:val="16"/>
              </w:rPr>
              <w:t>Lungs only</w:t>
            </w:r>
          </w:p>
        </w:tc>
        <w:tc>
          <w:tcPr>
            <w:tcW w:type="dxa" w:w="1123"/>
          </w:tcPr>
          <w:p>
            <w:pPr>
              <w:spacing w:before="20" w:after="20"/>
              <w:jc w:val="center"/>
            </w:pPr>
            <w:r>
              <w:rPr>
                <w:rFonts w:ascii="Times New Roman" w:hAnsi="Times New Roman"/>
                <w:sz w:val="16"/>
              </w:rPr>
            </w:r>
            <w:r>
              <w:rPr>
                <w:rFonts w:ascii="Times New Roman" w:hAnsi="Times New Roman"/>
                <w:b w:val="0"/>
                <w:sz w:val="16"/>
              </w:rPr>
              <w:t>0.9341</w:t>
            </w:r>
          </w:p>
        </w:tc>
        <w:tc>
          <w:tcPr>
            <w:tcW w:type="dxa" w:w="1123"/>
          </w:tcPr>
          <w:p>
            <w:pPr>
              <w:spacing w:before="20" w:after="20"/>
              <w:jc w:val="center"/>
            </w:pPr>
            <w:r>
              <w:rPr>
                <w:rFonts w:ascii="Times New Roman" w:hAnsi="Times New Roman"/>
                <w:sz w:val="16"/>
              </w:rPr>
            </w:r>
            <w:r>
              <w:rPr>
                <w:rFonts w:ascii="Times New Roman" w:hAnsi="Times New Roman"/>
                <w:b w:val="0"/>
                <w:sz w:val="16"/>
              </w:rPr>
              <w:t>0.9298</w:t>
            </w:r>
          </w:p>
        </w:tc>
        <w:tc>
          <w:tcPr>
            <w:tcW w:type="dxa" w:w="951"/>
          </w:tcPr>
          <w:p>
            <w:pPr>
              <w:spacing w:before="20" w:after="20"/>
              <w:jc w:val="center"/>
            </w:pPr>
            <w:r>
              <w:rPr>
                <w:rFonts w:ascii="Times New Roman" w:hAnsi="Times New Roman"/>
                <w:sz w:val="16"/>
              </w:rPr>
            </w:r>
            <w:r>
              <w:rPr>
                <w:rFonts w:ascii="Times New Roman" w:hAnsi="Times New Roman"/>
                <w:b w:val="0"/>
                <w:sz w:val="16"/>
              </w:rPr>
              <w:t>0.9898</w:t>
            </w:r>
          </w:p>
        </w:tc>
      </w:tr>
    </w:tbl>
    <w:p>
      <w:pPr>
        <w:pStyle w:val="Text"/>
        <w:spacing w:after="80"/>
      </w:pPr>
    </w:p>
    <w:p>
      <w:pPr>
        <w:pStyle w:val="TableCaption"/>
        <w:spacing w:before="120" w:after="40"/>
        <w:jc w:val="center"/>
      </w:pPr>
      <w:r>
        <w:rPr>
          <w:rFonts w:ascii="Times New Roman" w:hAnsi="Times New Roman"/>
          <w:b/>
          <w:sz w:val="18"/>
        </w:rPr>
        <w:t>Table 11: Per-class cost of masking</w:t>
      </w:r>
    </w:p>
    <w:tbl>
      <w:tblPr>
        <w:tblStyle w:val="TableGrid"/>
        <w:tblW w:type="dxa" w:w="4925"/>
        <w:tblLayout w:type="fixed"/>
        <w:tblLook w:firstColumn="1" w:firstRow="1" w:lastColumn="0" w:lastRow="0" w:noHBand="0" w:noVBand="1" w:val="04A0"/>
      </w:tblPr>
      <w:tblGrid>
        <w:gridCol w:w="2173"/>
        <w:gridCol w:w="1376"/>
        <w:gridCol w:w="1376"/>
      </w:tblGrid>
      <w:tr>
        <w:tc>
          <w:tcPr>
            <w:tcW w:type="dxa" w:w="2173"/>
          </w:tcPr>
          <w:p>
            <w:pPr>
              <w:spacing w:before="20" w:after="20"/>
              <w:jc w:val="center"/>
            </w:pPr>
            <w:r>
              <w:rPr>
                <w:rFonts w:ascii="Times New Roman" w:hAnsi="Times New Roman"/>
                <w:b/>
                <w:sz w:val="16"/>
              </w:rPr>
            </w:r>
            <w:r>
              <w:rPr>
                <w:rFonts w:ascii="Times New Roman" w:hAnsi="Times New Roman"/>
                <w:b/>
                <w:sz w:val="16"/>
              </w:rPr>
              <w:t>Class</w:t>
            </w:r>
          </w:p>
        </w:tc>
        <w:tc>
          <w:tcPr>
            <w:tcW w:type="dxa" w:w="1376"/>
          </w:tcPr>
          <w:p>
            <w:pPr>
              <w:spacing w:before="20" w:after="20"/>
              <w:jc w:val="center"/>
            </w:pPr>
            <w:r>
              <w:rPr>
                <w:rFonts w:ascii="Times New Roman" w:hAnsi="Times New Roman"/>
                <w:b/>
                <w:sz w:val="16"/>
              </w:rPr>
            </w:r>
            <w:r>
              <w:rPr>
                <w:rFonts w:ascii="Times New Roman" w:hAnsi="Times New Roman"/>
                <w:b/>
                <w:sz w:val="16"/>
              </w:rPr>
              <w:t>F1 lost</w:t>
            </w:r>
          </w:p>
        </w:tc>
        <w:tc>
          <w:tcPr>
            <w:tcW w:type="dxa" w:w="1376"/>
          </w:tcPr>
          <w:p>
            <w:pPr>
              <w:spacing w:before="20" w:after="20"/>
              <w:jc w:val="center"/>
            </w:pPr>
            <w:r>
              <w:rPr>
                <w:rFonts w:ascii="Times New Roman" w:hAnsi="Times New Roman"/>
                <w:b/>
                <w:sz w:val="16"/>
              </w:rPr>
            </w:r>
            <w:r>
              <w:rPr>
                <w:rFonts w:ascii="Times New Roman" w:hAnsi="Times New Roman"/>
                <w:b/>
                <w:sz w:val="16"/>
              </w:rPr>
              <w:t>AUC lost</w:t>
            </w:r>
          </w:p>
        </w:tc>
      </w:tr>
      <w:tr>
        <w:tc>
          <w:tcPr>
            <w:tcW w:type="dxa" w:w="2173"/>
          </w:tcPr>
          <w:p>
            <w:pPr>
              <w:spacing w:before="20" w:after="20"/>
              <w:jc w:val="left"/>
            </w:pPr>
            <w:r>
              <w:rPr>
                <w:rFonts w:ascii="Times New Roman" w:hAnsi="Times New Roman"/>
                <w:sz w:val="16"/>
              </w:rPr>
            </w:r>
            <w:r>
              <w:rPr>
                <w:rFonts w:ascii="Times New Roman" w:hAnsi="Times New Roman"/>
                <w:b w:val="0"/>
                <w:sz w:val="16"/>
              </w:rPr>
              <w:t>COVID19</w:t>
            </w:r>
          </w:p>
        </w:tc>
        <w:tc>
          <w:tcPr>
            <w:tcW w:type="dxa" w:w="1376"/>
          </w:tcPr>
          <w:p>
            <w:pPr>
              <w:spacing w:before="20" w:after="20"/>
              <w:jc w:val="center"/>
            </w:pPr>
            <w:r>
              <w:rPr>
                <w:rFonts w:ascii="Times New Roman" w:hAnsi="Times New Roman"/>
                <w:sz w:val="16"/>
              </w:rPr>
            </w:r>
            <w:r>
              <w:rPr>
                <w:rFonts w:ascii="Times New Roman" w:hAnsi="Times New Roman"/>
                <w:b/>
                <w:sz w:val="16"/>
              </w:rPr>
              <w:t>−0.056</w:t>
            </w:r>
          </w:p>
        </w:tc>
        <w:tc>
          <w:tcPr>
            <w:tcW w:type="dxa" w:w="1376"/>
          </w:tcPr>
          <w:p>
            <w:pPr>
              <w:spacing w:before="20" w:after="20"/>
              <w:jc w:val="center"/>
            </w:pPr>
            <w:r>
              <w:rPr>
                <w:rFonts w:ascii="Times New Roman" w:hAnsi="Times New Roman"/>
                <w:sz w:val="16"/>
              </w:rPr>
            </w:r>
            <w:r>
              <w:rPr>
                <w:rFonts w:ascii="Times New Roman" w:hAnsi="Times New Roman"/>
                <w:b w:val="0"/>
                <w:sz w:val="16"/>
              </w:rPr>
              <w:t>−0.0040</w:t>
            </w:r>
          </w:p>
        </w:tc>
      </w:tr>
      <w:tr>
        <w:tc>
          <w:tcPr>
            <w:tcW w:type="dxa" w:w="2173"/>
          </w:tcPr>
          <w:p>
            <w:pPr>
              <w:spacing w:before="20" w:after="20"/>
              <w:jc w:val="left"/>
            </w:pPr>
            <w:r>
              <w:rPr>
                <w:rFonts w:ascii="Times New Roman" w:hAnsi="Times New Roman"/>
                <w:sz w:val="16"/>
              </w:rPr>
            </w:r>
            <w:r>
              <w:rPr>
                <w:rFonts w:ascii="Times New Roman" w:hAnsi="Times New Roman"/>
                <w:b w:val="0"/>
                <w:sz w:val="16"/>
              </w:rPr>
              <w:t>LUNG_OPACITY</w:t>
            </w:r>
          </w:p>
        </w:tc>
        <w:tc>
          <w:tcPr>
            <w:tcW w:type="dxa" w:w="1376"/>
          </w:tcPr>
          <w:p>
            <w:pPr>
              <w:spacing w:before="20" w:after="20"/>
              <w:jc w:val="center"/>
            </w:pPr>
            <w:r>
              <w:rPr>
                <w:rFonts w:ascii="Times New Roman" w:hAnsi="Times New Roman"/>
                <w:sz w:val="16"/>
              </w:rPr>
            </w:r>
            <w:r>
              <w:rPr>
                <w:rFonts w:ascii="Times New Roman" w:hAnsi="Times New Roman"/>
                <w:b w:val="0"/>
                <w:sz w:val="16"/>
              </w:rPr>
              <w:t>−0.030</w:t>
            </w:r>
          </w:p>
        </w:tc>
        <w:tc>
          <w:tcPr>
            <w:tcW w:type="dxa" w:w="1376"/>
          </w:tcPr>
          <w:p>
            <w:pPr>
              <w:spacing w:before="20" w:after="20"/>
              <w:jc w:val="center"/>
            </w:pPr>
            <w:r>
              <w:rPr>
                <w:rFonts w:ascii="Times New Roman" w:hAnsi="Times New Roman"/>
                <w:sz w:val="16"/>
              </w:rPr>
            </w:r>
            <w:r>
              <w:rPr>
                <w:rFonts w:ascii="Times New Roman" w:hAnsi="Times New Roman"/>
                <w:b w:val="0"/>
                <w:sz w:val="16"/>
              </w:rPr>
              <w:t>−0.0057</w:t>
            </w:r>
          </w:p>
        </w:tc>
      </w:tr>
      <w:tr>
        <w:tc>
          <w:tcPr>
            <w:tcW w:type="dxa" w:w="2173"/>
          </w:tcPr>
          <w:p>
            <w:pPr>
              <w:spacing w:before="20" w:after="20"/>
              <w:jc w:val="left"/>
            </w:pPr>
            <w:r>
              <w:rPr>
                <w:rFonts w:ascii="Times New Roman" w:hAnsi="Times New Roman"/>
                <w:sz w:val="16"/>
              </w:rPr>
            </w:r>
            <w:r>
              <w:rPr>
                <w:rFonts w:ascii="Times New Roman" w:hAnsi="Times New Roman"/>
                <w:b w:val="0"/>
                <w:sz w:val="16"/>
              </w:rPr>
              <w:t>NORMAL</w:t>
            </w:r>
          </w:p>
        </w:tc>
        <w:tc>
          <w:tcPr>
            <w:tcW w:type="dxa" w:w="1376"/>
          </w:tcPr>
          <w:p>
            <w:pPr>
              <w:spacing w:before="20" w:after="20"/>
              <w:jc w:val="center"/>
            </w:pPr>
            <w:r>
              <w:rPr>
                <w:rFonts w:ascii="Times New Roman" w:hAnsi="Times New Roman"/>
                <w:sz w:val="16"/>
              </w:rPr>
            </w:r>
            <w:r>
              <w:rPr>
                <w:rFonts w:ascii="Times New Roman" w:hAnsi="Times New Roman"/>
                <w:b w:val="0"/>
                <w:sz w:val="16"/>
              </w:rPr>
              <w:t>−0.009</w:t>
            </w:r>
          </w:p>
        </w:tc>
        <w:tc>
          <w:tcPr>
            <w:tcW w:type="dxa" w:w="1376"/>
          </w:tcPr>
          <w:p>
            <w:pPr>
              <w:spacing w:before="20" w:after="20"/>
              <w:jc w:val="center"/>
            </w:pPr>
            <w:r>
              <w:rPr>
                <w:rFonts w:ascii="Times New Roman" w:hAnsi="Times New Roman"/>
                <w:sz w:val="16"/>
              </w:rPr>
            </w:r>
            <w:r>
              <w:rPr>
                <w:rFonts w:ascii="Times New Roman" w:hAnsi="Times New Roman"/>
                <w:b w:val="0"/>
                <w:sz w:val="16"/>
              </w:rPr>
              <w:t>−0.0015</w:t>
            </w:r>
          </w:p>
        </w:tc>
      </w:tr>
      <w:tr>
        <w:tc>
          <w:tcPr>
            <w:tcW w:type="dxa" w:w="2173"/>
          </w:tcPr>
          <w:p>
            <w:pPr>
              <w:spacing w:before="20" w:after="20"/>
              <w:jc w:val="left"/>
            </w:pPr>
            <w:r>
              <w:rPr>
                <w:rFonts w:ascii="Times New Roman" w:hAnsi="Times New Roman"/>
                <w:sz w:val="16"/>
              </w:rPr>
            </w:r>
            <w:r>
              <w:rPr>
                <w:rFonts w:ascii="Times New Roman" w:hAnsi="Times New Roman"/>
                <w:b w:val="0"/>
                <w:sz w:val="16"/>
              </w:rPr>
              <w:t>PNEUMONIA</w:t>
            </w:r>
          </w:p>
        </w:tc>
        <w:tc>
          <w:tcPr>
            <w:tcW w:type="dxa" w:w="1376"/>
          </w:tcPr>
          <w:p>
            <w:pPr>
              <w:spacing w:before="20" w:after="20"/>
              <w:jc w:val="center"/>
            </w:pPr>
            <w:r>
              <w:rPr>
                <w:rFonts w:ascii="Times New Roman" w:hAnsi="Times New Roman"/>
                <w:sz w:val="16"/>
              </w:rPr>
            </w:r>
            <w:r>
              <w:rPr>
                <w:rFonts w:ascii="Times New Roman" w:hAnsi="Times New Roman"/>
                <w:b w:val="0"/>
                <w:sz w:val="16"/>
              </w:rPr>
              <w:t>−0.003</w:t>
            </w:r>
          </w:p>
        </w:tc>
        <w:tc>
          <w:tcPr>
            <w:tcW w:type="dxa" w:w="1376"/>
          </w:tcPr>
          <w:p>
            <w:pPr>
              <w:spacing w:before="20" w:after="20"/>
              <w:jc w:val="center"/>
            </w:pPr>
            <w:r>
              <w:rPr>
                <w:rFonts w:ascii="Times New Roman" w:hAnsi="Times New Roman"/>
                <w:sz w:val="16"/>
              </w:rPr>
            </w:r>
            <w:r>
              <w:rPr>
                <w:rFonts w:ascii="Times New Roman" w:hAnsi="Times New Roman"/>
                <w:b w:val="0"/>
                <w:sz w:val="16"/>
              </w:rPr>
              <w:t>−0.0011</w:t>
            </w:r>
          </w:p>
        </w:tc>
      </w:tr>
    </w:tbl>
    <w:p>
      <w:pPr>
        <w:pStyle w:val="Text"/>
        <w:spacing w:after="80"/>
      </w:pPr>
    </w:p>
    <w:p>
      <w:pPr>
        <w:pStyle w:val="Text"/>
      </w:pPr>
      <w:r>
        <w:rPr>
          <w:rFonts w:ascii="Times New Roman" w:hAnsi="Times New Roman"/>
          <w:b w:val="0"/>
        </w:rPr>
        <w:t xml:space="preserve">The score does not collapse, which </w:t>
      </w:r>
      <w:r>
        <w:rPr>
          <w:rFonts w:ascii="Times New Roman" w:hAnsi="Times New Roman"/>
          <w:b/>
        </w:rPr>
        <w:t>rules out</w:t>
      </w:r>
      <w:r>
        <w:rPr>
          <w:rFonts w:ascii="Times New Roman" w:hAnsi="Times New Roman"/>
          <w:b w:val="0"/>
        </w:rPr>
        <w:t xml:space="preserve"> the crude shortcut: the model is not simply reading annotations or background, because those are gone and it still achieves 0.934. But the per-class F1 losses are grossly unequal. COVID-19 loses six times what the normal class loses and nearly twenty times what pneumonia loses, and its recall falls from 0.976 to 0.911. It is the only class with unique provenance, and it is the class with the most to lose. An earlier three-class version of this experiment found the same ordering at half the magnitude, so the effect has reproduced across two class definitions.</w:t>
      </w:r>
    </w:p>
    <w:p>
      <w:pPr>
        <w:pStyle w:val="Text"/>
      </w:pPr>
      <w:r>
        <w:rPr>
          <w:rFonts w:ascii="Times New Roman" w:hAnsi="Times New Roman"/>
          <w:b/>
        </w:rPr>
        <w:t>The AUC column qualifies this and should be reported with it.</w:t>
      </w:r>
      <w:r>
        <w:rPr>
          <w:rFonts w:ascii="Times New Roman" w:hAnsi="Times New Roman"/>
          <w:b w:val="0"/>
        </w:rPr>
        <w:t xml:space="preserve"> Macro AUC falls only 0.0030 where macro F1 falls 0.0246, and on AUC the per-class ordering does not hold — lung opacity loses marginally more than COVID-19. Most of what masking costs the COVID-19 class is therefore the placement of the decision boundary rather than the separability of the class itself. We state this because the F1 column alone supports a stronger claim than the evidence warrants.</w:t>
      </w:r>
    </w:p>
    <w:p>
      <w:pPr>
        <w:pStyle w:val="Text"/>
      </w:pPr>
      <w:r>
        <w:rPr>
          <w:rFonts w:ascii="Times New Roman" w:hAnsi="Times New Roman"/>
          <w:b/>
        </w:rPr>
        <w:t>Neither explanation detects any of this, and this is the paper’s central negative result.</w:t>
      </w:r>
      <w:r>
        <w:rPr>
          <w:rFonts w:ascii="Times New Roman" w:hAnsi="Times New Roman"/>
          <w:b w:val="0"/>
        </w:rPr>
        <w:t xml:space="preserve"> Acquisition signature is present inside the lung fields, as is the lung silhouette itself, and a paediatric chest differs in outline from an adult one — which alone separates the paediatric pneumonia collection from the adult European COVID-19 series. A model reading provenance rather than pathology therefore produces heatmaps that fall on the lungs and look entirely reasonable. Our enrichment figure of 1.359 is consistent with a model reading pathology and equally consistent with one reading scanner. SHAP fares no better: its baseline is the mean training feature vector, so a large contribution is as consistent with “unlike the typical scanner here” as with “unlike a healthy lung”.</w:t>
      </w:r>
    </w:p>
    <w:p>
      <w:pPr>
        <w:pStyle w:val="Text"/>
      </w:pPr>
      <w:r>
        <w:rPr>
          <w:rFonts w:ascii="Times New Roman" w:hAnsi="Times New Roman"/>
          <w:b/>
        </w:rPr>
        <w:t>Heat on the lungs is necessary, not sufficient.</w:t>
      </w:r>
      <w:r>
        <w:rPr>
          <w:rFonts w:ascii="Times New Roman" w:hAnsi="Times New Roman"/>
          <w:b w:val="0"/>
        </w:rPr>
        <w:t xml:space="preserve"> The verification role routinely assigned to Grad-CAM in the clinical XAI literature is not supported by these measurements: the confound that most threatens this dataset is invisible to both explanation methods applied to it.</w:t>
      </w:r>
    </w:p>
    <w:p>
      <w:pPr>
        <w:pStyle w:val="Text"/>
      </w:pPr>
      <w:r>
        <w:rPr>
          <w:rFonts w:ascii="Times New Roman" w:hAnsi="Times New Roman"/>
          <w:b/>
        </w:rPr>
        <w:t>Cross-dataset validation does not settle it either.</w:t>
      </w:r>
      <w:r>
        <w:rPr>
          <w:rFonts w:ascii="Times New Roman" w:hAnsi="Times New Roman"/>
          <w:b w:val="0"/>
        </w:rPr>
        <w:t xml:space="preserve"> A widely used second Kaggle compilation shares </w:t>
      </w:r>
      <w:r>
        <w:rPr>
          <w:rFonts w:ascii="Times New Roman" w:hAnsi="Times New Roman"/>
          <w:b/>
        </w:rPr>
        <w:t>24.0%</w:t>
      </w:r>
      <w:r>
        <w:rPr>
          <w:rFonts w:ascii="Times New Roman" w:hAnsi="Times New Roman"/>
          <w:b w:val="0"/>
        </w:rPr>
        <w:t xml:space="preserve"> of its 6,432 images with this model’s training split, and </w:t>
      </w:r>
      <w:r>
        <w:rPr>
          <w:rFonts w:ascii="Times New Roman" w:hAnsi="Times New Roman"/>
          <w:b/>
        </w:rPr>
        <w:t>none of those matches by checksum</w:t>
      </w:r>
      <w:r>
        <w:rPr>
          <w:rFonts w:ascii="Times New Roman" w:hAnsi="Times New Roman"/>
          <w:b w:val="0"/>
        </w:rPr>
        <w:t>, every copy having been resized or re-encoded. A hash comparison reports two independent datasets.</w:t>
      </w:r>
    </w:p>
    <w:p>
      <w:pPr>
        <w:pStyle w:val="TableCaption"/>
        <w:spacing w:before="120" w:after="40"/>
        <w:jc w:val="center"/>
      </w:pPr>
      <w:r>
        <w:rPr>
          <w:rFonts w:ascii="Times New Roman" w:hAnsi="Times New Roman"/>
          <w:b/>
          <w:sz w:val="18"/>
        </w:rPr>
        <w:t>Table 12: Second-dataset scoring after partitioning by overlap</w:t>
      </w:r>
    </w:p>
    <w:tbl>
      <w:tblPr>
        <w:tblStyle w:val="TableGrid"/>
        <w:tblW w:type="dxa" w:w="4925"/>
        <w:tblLayout w:type="fixed"/>
        <w:tblLook w:firstColumn="1" w:firstRow="1" w:lastColumn="0" w:lastRow="0" w:noHBand="0" w:noVBand="1" w:val="04A0"/>
      </w:tblPr>
      <w:tblGrid>
        <w:gridCol w:w="1944"/>
        <w:gridCol w:w="936"/>
        <w:gridCol w:w="1080"/>
        <w:gridCol w:w="965"/>
      </w:tblGrid>
      <w:tr>
        <w:tc>
          <w:tcPr>
            <w:tcW w:type="dxa" w:w="1944"/>
          </w:tcPr>
          <w:p>
            <w:pPr>
              <w:spacing w:before="20" w:after="20"/>
              <w:jc w:val="center"/>
            </w:pPr>
            <w:r>
              <w:rPr>
                <w:rFonts w:ascii="Times New Roman" w:hAnsi="Times New Roman"/>
                <w:b/>
                <w:sz w:val="16"/>
              </w:rPr>
            </w:r>
            <w:r>
              <w:rPr>
                <w:rFonts w:ascii="Times New Roman" w:hAnsi="Times New Roman"/>
                <w:b/>
                <w:sz w:val="16"/>
              </w:rPr>
              <w:t>Partition</w:t>
            </w:r>
          </w:p>
        </w:tc>
        <w:tc>
          <w:tcPr>
            <w:tcW w:type="dxa" w:w="936"/>
          </w:tcPr>
          <w:p>
            <w:pPr>
              <w:spacing w:before="20" w:after="20"/>
              <w:jc w:val="center"/>
            </w:pPr>
            <w:r>
              <w:rPr>
                <w:rFonts w:ascii="Times New Roman" w:hAnsi="Times New Roman"/>
                <w:b/>
                <w:sz w:val="16"/>
              </w:rPr>
            </w:r>
            <w:r>
              <w:rPr>
                <w:rFonts w:ascii="Times New Roman" w:hAnsi="Times New Roman"/>
                <w:b/>
                <w:sz w:val="16"/>
              </w:rPr>
              <w:t>Images</w:t>
            </w:r>
          </w:p>
        </w:tc>
        <w:tc>
          <w:tcPr>
            <w:tcW w:type="dxa" w:w="1080"/>
          </w:tcPr>
          <w:p>
            <w:pPr>
              <w:spacing w:before="20" w:after="20"/>
              <w:jc w:val="center"/>
            </w:pPr>
            <w:r>
              <w:rPr>
                <w:rFonts w:ascii="Times New Roman" w:hAnsi="Times New Roman"/>
                <w:b/>
                <w:sz w:val="16"/>
              </w:rPr>
            </w:r>
            <w:r>
              <w:rPr>
                <w:rFonts w:ascii="Times New Roman" w:hAnsi="Times New Roman"/>
                <w:b/>
                <w:sz w:val="16"/>
              </w:rPr>
              <w:t>Macro F1</w:t>
            </w:r>
          </w:p>
        </w:tc>
        <w:tc>
          <w:tcPr>
            <w:tcW w:type="dxa" w:w="965"/>
          </w:tcPr>
          <w:p>
            <w:pPr>
              <w:spacing w:before="20" w:after="20"/>
              <w:jc w:val="center"/>
            </w:pPr>
            <w:r>
              <w:rPr>
                <w:rFonts w:ascii="Times New Roman" w:hAnsi="Times New Roman"/>
                <w:b/>
                <w:sz w:val="16"/>
              </w:rPr>
            </w:r>
            <w:r>
              <w:rPr>
                <w:rFonts w:ascii="Times New Roman" w:hAnsi="Times New Roman"/>
                <w:b/>
                <w:sz w:val="16"/>
              </w:rPr>
              <w:t>Acc.</w:t>
            </w:r>
          </w:p>
        </w:tc>
      </w:tr>
      <w:tr>
        <w:tc>
          <w:tcPr>
            <w:tcW w:type="dxa" w:w="1944"/>
          </w:tcPr>
          <w:p>
            <w:pPr>
              <w:spacing w:before="20" w:after="20"/>
              <w:jc w:val="left"/>
            </w:pPr>
            <w:r>
              <w:rPr>
                <w:rFonts w:ascii="Times New Roman" w:hAnsi="Times New Roman"/>
                <w:sz w:val="16"/>
              </w:rPr>
            </w:r>
            <w:r>
              <w:rPr>
                <w:rFonts w:ascii="Times New Roman" w:hAnsi="Times New Roman"/>
                <w:b w:val="0"/>
                <w:sz w:val="16"/>
              </w:rPr>
              <w:t>All, contaminated</w:t>
            </w:r>
          </w:p>
        </w:tc>
        <w:tc>
          <w:tcPr>
            <w:tcW w:type="dxa" w:w="936"/>
          </w:tcPr>
          <w:p>
            <w:pPr>
              <w:spacing w:before="20" w:after="20"/>
              <w:jc w:val="center"/>
            </w:pPr>
            <w:r>
              <w:rPr>
                <w:rFonts w:ascii="Times New Roman" w:hAnsi="Times New Roman"/>
                <w:sz w:val="16"/>
              </w:rPr>
            </w:r>
            <w:r>
              <w:rPr>
                <w:rFonts w:ascii="Times New Roman" w:hAnsi="Times New Roman"/>
                <w:b w:val="0"/>
                <w:sz w:val="16"/>
              </w:rPr>
              <w:t>6,432</w:t>
            </w:r>
          </w:p>
        </w:tc>
        <w:tc>
          <w:tcPr>
            <w:tcW w:type="dxa" w:w="1080"/>
          </w:tcPr>
          <w:p>
            <w:pPr>
              <w:spacing w:before="20" w:after="20"/>
              <w:jc w:val="center"/>
            </w:pPr>
            <w:r>
              <w:rPr>
                <w:rFonts w:ascii="Times New Roman" w:hAnsi="Times New Roman"/>
                <w:sz w:val="16"/>
              </w:rPr>
            </w:r>
            <w:r>
              <w:rPr>
                <w:rFonts w:ascii="Times New Roman" w:hAnsi="Times New Roman"/>
                <w:b w:val="0"/>
                <w:sz w:val="16"/>
              </w:rPr>
              <w:t>0.9492</w:t>
            </w:r>
          </w:p>
        </w:tc>
        <w:tc>
          <w:tcPr>
            <w:tcW w:type="dxa" w:w="965"/>
          </w:tcPr>
          <w:p>
            <w:pPr>
              <w:spacing w:before="20" w:after="20"/>
              <w:jc w:val="center"/>
            </w:pPr>
            <w:r>
              <w:rPr>
                <w:rFonts w:ascii="Times New Roman" w:hAnsi="Times New Roman"/>
                <w:sz w:val="16"/>
              </w:rPr>
            </w:r>
            <w:r>
              <w:rPr>
                <w:rFonts w:ascii="Times New Roman" w:hAnsi="Times New Roman"/>
                <w:b w:val="0"/>
                <w:sz w:val="16"/>
              </w:rPr>
              <w:t>0.9667</w:t>
            </w:r>
          </w:p>
        </w:tc>
      </w:tr>
      <w:tr>
        <w:tc>
          <w:tcPr>
            <w:tcW w:type="dxa" w:w="1944"/>
          </w:tcPr>
          <w:p>
            <w:pPr>
              <w:spacing w:before="20" w:after="20"/>
              <w:jc w:val="left"/>
            </w:pPr>
            <w:r>
              <w:rPr>
                <w:rFonts w:ascii="Times New Roman" w:hAnsi="Times New Roman"/>
                <w:sz w:val="16"/>
              </w:rPr>
            </w:r>
            <w:r>
              <w:rPr>
                <w:rFonts w:ascii="Times New Roman" w:hAnsi="Times New Roman"/>
                <w:b w:val="0"/>
                <w:sz w:val="16"/>
              </w:rPr>
              <w:t>Overlap only (control)</w:t>
            </w:r>
          </w:p>
        </w:tc>
        <w:tc>
          <w:tcPr>
            <w:tcW w:type="dxa" w:w="936"/>
          </w:tcPr>
          <w:p>
            <w:pPr>
              <w:spacing w:before="20" w:after="20"/>
              <w:jc w:val="center"/>
            </w:pPr>
            <w:r>
              <w:rPr>
                <w:rFonts w:ascii="Times New Roman" w:hAnsi="Times New Roman"/>
                <w:sz w:val="16"/>
              </w:rPr>
            </w:r>
            <w:r>
              <w:rPr>
                <w:rFonts w:ascii="Times New Roman" w:hAnsi="Times New Roman"/>
                <w:b w:val="0"/>
                <w:sz w:val="16"/>
              </w:rPr>
              <w:t>1,545</w:t>
            </w:r>
          </w:p>
        </w:tc>
        <w:tc>
          <w:tcPr>
            <w:tcW w:type="dxa" w:w="1080"/>
          </w:tcPr>
          <w:p>
            <w:pPr>
              <w:spacing w:before="20" w:after="20"/>
              <w:jc w:val="center"/>
            </w:pPr>
            <w:r>
              <w:rPr>
                <w:rFonts w:ascii="Times New Roman" w:hAnsi="Times New Roman"/>
                <w:sz w:val="16"/>
              </w:rPr>
            </w:r>
            <w:r>
              <w:rPr>
                <w:rFonts w:ascii="Times New Roman" w:hAnsi="Times New Roman"/>
                <w:b w:val="0"/>
                <w:sz w:val="16"/>
              </w:rPr>
              <w:t>0.9864</w:t>
            </w:r>
          </w:p>
        </w:tc>
        <w:tc>
          <w:tcPr>
            <w:tcW w:type="dxa" w:w="965"/>
          </w:tcPr>
          <w:p>
            <w:pPr>
              <w:spacing w:before="20" w:after="20"/>
              <w:jc w:val="center"/>
            </w:pPr>
            <w:r>
              <w:rPr>
                <w:rFonts w:ascii="Times New Roman" w:hAnsi="Times New Roman"/>
                <w:sz w:val="16"/>
              </w:rPr>
            </w:r>
            <w:r>
              <w:rPr>
                <w:rFonts w:ascii="Times New Roman" w:hAnsi="Times New Roman"/>
                <w:b w:val="0"/>
                <w:sz w:val="16"/>
              </w:rPr>
              <w:t>0.9903</w:t>
            </w:r>
          </w:p>
        </w:tc>
      </w:tr>
      <w:tr>
        <w:tc>
          <w:tcPr>
            <w:tcW w:type="dxa" w:w="1944"/>
          </w:tcPr>
          <w:p>
            <w:pPr>
              <w:spacing w:before="20" w:after="20"/>
              <w:jc w:val="left"/>
            </w:pPr>
            <w:r>
              <w:rPr>
                <w:rFonts w:ascii="Times New Roman" w:hAnsi="Times New Roman"/>
                <w:sz w:val="16"/>
              </w:rPr>
            </w:r>
            <w:r>
              <w:rPr>
                <w:rFonts w:ascii="Times New Roman" w:hAnsi="Times New Roman"/>
                <w:b/>
                <w:sz w:val="16"/>
              </w:rPr>
              <w:t>Clean</w:t>
            </w:r>
          </w:p>
        </w:tc>
        <w:tc>
          <w:tcPr>
            <w:tcW w:type="dxa" w:w="936"/>
          </w:tcPr>
          <w:p>
            <w:pPr>
              <w:spacing w:before="20" w:after="20"/>
              <w:jc w:val="center"/>
            </w:pPr>
            <w:r>
              <w:rPr>
                <w:rFonts w:ascii="Times New Roman" w:hAnsi="Times New Roman"/>
                <w:sz w:val="16"/>
              </w:rPr>
            </w:r>
            <w:r>
              <w:rPr>
                <w:rFonts w:ascii="Times New Roman" w:hAnsi="Times New Roman"/>
                <w:b/>
                <w:sz w:val="16"/>
              </w:rPr>
              <w:t>4,887</w:t>
            </w:r>
          </w:p>
        </w:tc>
        <w:tc>
          <w:tcPr>
            <w:tcW w:type="dxa" w:w="1080"/>
          </w:tcPr>
          <w:p>
            <w:pPr>
              <w:spacing w:before="20" w:after="20"/>
              <w:jc w:val="center"/>
            </w:pPr>
            <w:r>
              <w:rPr>
                <w:rFonts w:ascii="Times New Roman" w:hAnsi="Times New Roman"/>
                <w:sz w:val="16"/>
              </w:rPr>
            </w:r>
            <w:r>
              <w:rPr>
                <w:rFonts w:ascii="Times New Roman" w:hAnsi="Times New Roman"/>
                <w:b/>
                <w:sz w:val="16"/>
              </w:rPr>
              <w:t>0.9252</w:t>
            </w:r>
          </w:p>
        </w:tc>
        <w:tc>
          <w:tcPr>
            <w:tcW w:type="dxa" w:w="965"/>
          </w:tcPr>
          <w:p>
            <w:pPr>
              <w:spacing w:before="20" w:after="20"/>
              <w:jc w:val="center"/>
            </w:pPr>
            <w:r>
              <w:rPr>
                <w:rFonts w:ascii="Times New Roman" w:hAnsi="Times New Roman"/>
                <w:sz w:val="16"/>
              </w:rPr>
            </w:r>
            <w:r>
              <w:rPr>
                <w:rFonts w:ascii="Times New Roman" w:hAnsi="Times New Roman"/>
                <w:b w:val="0"/>
                <w:sz w:val="16"/>
              </w:rPr>
              <w:t>0.9593</w:t>
            </w:r>
          </w:p>
        </w:tc>
      </w:tr>
    </w:tbl>
    <w:p>
      <w:pPr>
        <w:pStyle w:val="Text"/>
        <w:spacing w:after="80"/>
      </w:pPr>
    </w:p>
    <w:p>
      <w:pPr>
        <w:pStyle w:val="Text"/>
      </w:pPr>
      <w:r>
        <w:rPr>
          <w:rFonts w:ascii="Times New Roman" w:hAnsi="Times New Roman"/>
          <w:b w:val="0"/>
        </w:rPr>
        <w:t>Leaving the contamination in was worth a spurious +0.0240 macro F1. But both datasets are compiled from the same public archives, so much of the clean remainder plausibly originates from the same collections as the training data. This establishes that the model does not collapse on unseen images from a differently assembled compilation. It does not establish that the model reads pathology. Only a cohort from hospitals where provenance does not predict the label can settle that.</w:t>
      </w:r>
    </w:p>
    <w:p>
      <w:pPr>
        <w:pStyle w:val="Heading2"/>
        <w:jc w:val="left"/>
      </w:pPr>
      <w:r>
        <w:rPr>
          <w:rFonts w:ascii="Times New Roman" w:hAnsi="Times New Roman"/>
          <w:b/>
          <w:sz w:val="21"/>
        </w:rPr>
        <w:t>4.6 Abstention</w:t>
      </w:r>
    </w:p>
    <w:p>
      <w:pPr>
        <w:pStyle w:val="Text"/>
      </w:pPr>
      <w:r>
        <w:rPr>
          <w:rFonts w:ascii="Times New Roman" w:hAnsi="Times New Roman"/>
          <w:b w:val="0"/>
        </w:rPr>
        <w:t>A softmax over a fixed class list normalises whatever it is given, so an input unlike anything in training does not return an uncertain answer; it returns a confident wrong one. Against the trained ResNet18, a flat grey square is classified COVID-19 at 99.42%, uniform noise at 100.00%, and a page of text at 99.98% — none flagged by any confidence threshold, because there is no uncertainty present to threshold.</w:t>
      </w:r>
    </w:p>
    <w:p>
      <w:pPr>
        <w:pStyle w:val="Text"/>
      </w:pPr>
      <w:r>
        <w:rPr>
          <w:rFonts w:ascii="Times New Roman" w:hAnsi="Times New Roman"/>
          <w:b w:val="0"/>
        </w:rPr>
        <w:t xml:space="preserve">We fit a Mahalanobis-distance detector over the penultimate features following Lee et al. [9]: one Gaussian per class with a tied, Ledoit-Wolf-shrunk covariance, fitted on training and calibrated on validation. </w:t>
      </w:r>
      <w:r>
        <w:rPr>
          <w:rFonts w:ascii="Times New Roman" w:hAnsi="Times New Roman"/>
          <w:b/>
        </w:rPr>
        <w:t>Thresholds are per class.</w:t>
      </w:r>
      <w:r>
        <w:rPr>
          <w:rFonts w:ascii="Times New Roman" w:hAnsi="Times New Roman"/>
          <w:b w:val="0"/>
        </w:rPr>
        <w:t xml:space="preserve"> This is not a detail: a single pooled 95th-percentile cutoff, measured on the three-class model, reported a reassuring 4.5% false-reject rate while actually rejecting 30.2% of genuine pneumonia films and 0.4% of normal ones, the pooled figure having been set by the majority class.</w:t>
      </w:r>
    </w:p>
    <w:p>
      <w:pPr>
        <w:pStyle w:val="TableCaption"/>
        <w:spacing w:before="120" w:after="40"/>
        <w:jc w:val="center"/>
      </w:pPr>
      <w:r>
        <w:rPr>
          <w:rFonts w:ascii="Times New Roman" w:hAnsi="Times New Roman"/>
          <w:b/>
          <w:sz w:val="18"/>
        </w:rPr>
        <w:t>Table 13: Calibrated cutoffs and false-reject rates</w:t>
      </w:r>
    </w:p>
    <w:tbl>
      <w:tblPr>
        <w:tblStyle w:val="TableGrid"/>
        <w:tblW w:type="dxa" w:w="4925"/>
        <w:tblLayout w:type="fixed"/>
        <w:tblLook w:firstColumn="1" w:firstRow="1" w:lastColumn="0" w:lastRow="0" w:noHBand="0" w:noVBand="1" w:val="04A0"/>
      </w:tblPr>
      <w:tblGrid>
        <w:gridCol w:w="1440"/>
        <w:gridCol w:w="893"/>
        <w:gridCol w:w="864"/>
        <w:gridCol w:w="893"/>
        <w:gridCol w:w="835"/>
      </w:tblGrid>
      <w:tr>
        <w:tc>
          <w:tcPr>
            <w:tcW w:type="dxa" w:w="1440"/>
          </w:tcPr>
          <w:p>
            <w:pPr>
              <w:spacing w:before="20" w:after="20"/>
              <w:jc w:val="center"/>
            </w:pPr>
            <w:r>
              <w:rPr>
                <w:rFonts w:ascii="Times New Roman" w:hAnsi="Times New Roman"/>
                <w:b/>
                <w:sz w:val="15"/>
              </w:rPr>
            </w:r>
            <w:r>
              <w:rPr>
                <w:rFonts w:ascii="Times New Roman" w:hAnsi="Times New Roman"/>
                <w:b/>
                <w:sz w:val="15"/>
              </w:rPr>
              <w:t>Class</w:t>
            </w:r>
          </w:p>
        </w:tc>
        <w:tc>
          <w:tcPr>
            <w:tcW w:type="dxa" w:w="893"/>
          </w:tcPr>
          <w:p>
            <w:pPr>
              <w:spacing w:before="20" w:after="20"/>
              <w:jc w:val="center"/>
            </w:pPr>
            <w:r>
              <w:rPr>
                <w:rFonts w:ascii="Times New Roman" w:hAnsi="Times New Roman"/>
                <w:b/>
                <w:sz w:val="15"/>
              </w:rPr>
            </w:r>
            <w:r>
              <w:rPr>
                <w:rFonts w:ascii="Times New Roman" w:hAnsi="Times New Roman"/>
                <w:b/>
                <w:sz w:val="15"/>
              </w:rPr>
              <w:t>R18 cut</w:t>
            </w:r>
          </w:p>
        </w:tc>
        <w:tc>
          <w:tcPr>
            <w:tcW w:type="dxa" w:w="864"/>
          </w:tcPr>
          <w:p>
            <w:pPr>
              <w:spacing w:before="20" w:after="20"/>
              <w:jc w:val="center"/>
            </w:pPr>
            <w:r>
              <w:rPr>
                <w:rFonts w:ascii="Times New Roman" w:hAnsi="Times New Roman"/>
                <w:b/>
                <w:sz w:val="15"/>
              </w:rPr>
            </w:r>
            <w:r>
              <w:rPr>
                <w:rFonts w:ascii="Times New Roman" w:hAnsi="Times New Roman"/>
                <w:b/>
                <w:sz w:val="15"/>
              </w:rPr>
              <w:t>R18 rej.</w:t>
            </w:r>
          </w:p>
        </w:tc>
        <w:tc>
          <w:tcPr>
            <w:tcW w:type="dxa" w:w="893"/>
          </w:tcPr>
          <w:p>
            <w:pPr>
              <w:spacing w:before="20" w:after="20"/>
              <w:jc w:val="center"/>
            </w:pPr>
            <w:r>
              <w:rPr>
                <w:rFonts w:ascii="Times New Roman" w:hAnsi="Times New Roman"/>
                <w:b/>
                <w:sz w:val="15"/>
              </w:rPr>
            </w:r>
            <w:r>
              <w:rPr>
                <w:rFonts w:ascii="Times New Roman" w:hAnsi="Times New Roman"/>
                <w:b/>
                <w:sz w:val="15"/>
              </w:rPr>
              <w:t>R50 cut</w:t>
            </w:r>
          </w:p>
        </w:tc>
        <w:tc>
          <w:tcPr>
            <w:tcW w:type="dxa" w:w="835"/>
          </w:tcPr>
          <w:p>
            <w:pPr>
              <w:spacing w:before="20" w:after="20"/>
              <w:jc w:val="center"/>
            </w:pPr>
            <w:r>
              <w:rPr>
                <w:rFonts w:ascii="Times New Roman" w:hAnsi="Times New Roman"/>
                <w:b/>
                <w:sz w:val="15"/>
              </w:rPr>
            </w:r>
            <w:r>
              <w:rPr>
                <w:rFonts w:ascii="Times New Roman" w:hAnsi="Times New Roman"/>
                <w:b/>
                <w:sz w:val="15"/>
              </w:rPr>
              <w:t>R50 rej.</w:t>
            </w:r>
          </w:p>
        </w:tc>
      </w:tr>
      <w:tr>
        <w:tc>
          <w:tcPr>
            <w:tcW w:type="dxa" w:w="1440"/>
          </w:tcPr>
          <w:p>
            <w:pPr>
              <w:spacing w:before="20" w:after="20"/>
              <w:jc w:val="left"/>
            </w:pPr>
            <w:r>
              <w:rPr>
                <w:rFonts w:ascii="Times New Roman" w:hAnsi="Times New Roman"/>
                <w:sz w:val="15"/>
              </w:rPr>
            </w:r>
            <w:r>
              <w:rPr>
                <w:rFonts w:ascii="Times New Roman" w:hAnsi="Times New Roman"/>
                <w:b w:val="0"/>
                <w:sz w:val="15"/>
              </w:rPr>
              <w:t>COVID19</w:t>
            </w:r>
          </w:p>
        </w:tc>
        <w:tc>
          <w:tcPr>
            <w:tcW w:type="dxa" w:w="893"/>
          </w:tcPr>
          <w:p>
            <w:pPr>
              <w:spacing w:before="20" w:after="20"/>
              <w:jc w:val="center"/>
            </w:pPr>
            <w:r>
              <w:rPr>
                <w:rFonts w:ascii="Times New Roman" w:hAnsi="Times New Roman"/>
                <w:sz w:val="15"/>
              </w:rPr>
            </w:r>
            <w:r>
              <w:rPr>
                <w:rFonts w:ascii="Times New Roman" w:hAnsi="Times New Roman"/>
                <w:b w:val="0"/>
                <w:sz w:val="15"/>
              </w:rPr>
              <w:t>939.8</w:t>
            </w:r>
          </w:p>
        </w:tc>
        <w:tc>
          <w:tcPr>
            <w:tcW w:type="dxa" w:w="864"/>
          </w:tcPr>
          <w:p>
            <w:pPr>
              <w:spacing w:before="20" w:after="20"/>
              <w:jc w:val="center"/>
            </w:pPr>
            <w:r>
              <w:rPr>
                <w:rFonts w:ascii="Times New Roman" w:hAnsi="Times New Roman"/>
                <w:sz w:val="15"/>
              </w:rPr>
            </w:r>
            <w:r>
              <w:rPr>
                <w:rFonts w:ascii="Times New Roman" w:hAnsi="Times New Roman"/>
                <w:b w:val="0"/>
                <w:sz w:val="15"/>
              </w:rPr>
              <w:t>6.6%</w:t>
            </w:r>
          </w:p>
        </w:tc>
        <w:tc>
          <w:tcPr>
            <w:tcW w:type="dxa" w:w="893"/>
          </w:tcPr>
          <w:p>
            <w:pPr>
              <w:spacing w:before="20" w:after="20"/>
              <w:jc w:val="center"/>
            </w:pPr>
            <w:r>
              <w:rPr>
                <w:rFonts w:ascii="Times New Roman" w:hAnsi="Times New Roman"/>
                <w:sz w:val="15"/>
              </w:rPr>
            </w:r>
            <w:r>
              <w:rPr>
                <w:rFonts w:ascii="Times New Roman" w:hAnsi="Times New Roman"/>
                <w:b w:val="0"/>
                <w:sz w:val="15"/>
              </w:rPr>
              <w:t>4663.8</w:t>
            </w:r>
          </w:p>
        </w:tc>
        <w:tc>
          <w:tcPr>
            <w:tcW w:type="dxa" w:w="835"/>
          </w:tcPr>
          <w:p>
            <w:pPr>
              <w:spacing w:before="20" w:after="20"/>
              <w:jc w:val="center"/>
            </w:pPr>
            <w:r>
              <w:rPr>
                <w:rFonts w:ascii="Times New Roman" w:hAnsi="Times New Roman"/>
                <w:sz w:val="15"/>
              </w:rPr>
            </w:r>
            <w:r>
              <w:rPr>
                <w:rFonts w:ascii="Times New Roman" w:hAnsi="Times New Roman"/>
                <w:b w:val="0"/>
                <w:sz w:val="15"/>
              </w:rPr>
              <w:t>3.9%</w:t>
            </w:r>
          </w:p>
        </w:tc>
      </w:tr>
      <w:tr>
        <w:tc>
          <w:tcPr>
            <w:tcW w:type="dxa" w:w="1440"/>
          </w:tcPr>
          <w:p>
            <w:pPr>
              <w:spacing w:before="20" w:after="20"/>
              <w:jc w:val="left"/>
            </w:pPr>
            <w:r>
              <w:rPr>
                <w:rFonts w:ascii="Times New Roman" w:hAnsi="Times New Roman"/>
                <w:sz w:val="15"/>
              </w:rPr>
            </w:r>
            <w:r>
              <w:rPr>
                <w:rFonts w:ascii="Times New Roman" w:hAnsi="Times New Roman"/>
                <w:b w:val="0"/>
                <w:sz w:val="15"/>
              </w:rPr>
              <w:t>LUNG_OPAC.</w:t>
            </w:r>
          </w:p>
        </w:tc>
        <w:tc>
          <w:tcPr>
            <w:tcW w:type="dxa" w:w="893"/>
          </w:tcPr>
          <w:p>
            <w:pPr>
              <w:spacing w:before="20" w:after="20"/>
              <w:jc w:val="center"/>
            </w:pPr>
            <w:r>
              <w:rPr>
                <w:rFonts w:ascii="Times New Roman" w:hAnsi="Times New Roman"/>
                <w:sz w:val="15"/>
              </w:rPr>
            </w:r>
            <w:r>
              <w:rPr>
                <w:rFonts w:ascii="Times New Roman" w:hAnsi="Times New Roman"/>
                <w:b w:val="0"/>
                <w:sz w:val="15"/>
              </w:rPr>
              <w:t>822.5</w:t>
            </w:r>
          </w:p>
        </w:tc>
        <w:tc>
          <w:tcPr>
            <w:tcW w:type="dxa" w:w="864"/>
          </w:tcPr>
          <w:p>
            <w:pPr>
              <w:spacing w:before="20" w:after="20"/>
              <w:jc w:val="center"/>
            </w:pPr>
            <w:r>
              <w:rPr>
                <w:rFonts w:ascii="Times New Roman" w:hAnsi="Times New Roman"/>
                <w:sz w:val="15"/>
              </w:rPr>
            </w:r>
            <w:r>
              <w:rPr>
                <w:rFonts w:ascii="Times New Roman" w:hAnsi="Times New Roman"/>
                <w:b w:val="0"/>
                <w:sz w:val="15"/>
              </w:rPr>
              <w:t>5.1%</w:t>
            </w:r>
          </w:p>
        </w:tc>
        <w:tc>
          <w:tcPr>
            <w:tcW w:type="dxa" w:w="893"/>
          </w:tcPr>
          <w:p>
            <w:pPr>
              <w:spacing w:before="20" w:after="20"/>
              <w:jc w:val="center"/>
            </w:pPr>
            <w:r>
              <w:rPr>
                <w:rFonts w:ascii="Times New Roman" w:hAnsi="Times New Roman"/>
                <w:sz w:val="15"/>
              </w:rPr>
            </w:r>
            <w:r>
              <w:rPr>
                <w:rFonts w:ascii="Times New Roman" w:hAnsi="Times New Roman"/>
                <w:b w:val="0"/>
                <w:sz w:val="15"/>
              </w:rPr>
              <w:t>4084.0</w:t>
            </w:r>
          </w:p>
        </w:tc>
        <w:tc>
          <w:tcPr>
            <w:tcW w:type="dxa" w:w="835"/>
          </w:tcPr>
          <w:p>
            <w:pPr>
              <w:spacing w:before="20" w:after="20"/>
              <w:jc w:val="center"/>
            </w:pPr>
            <w:r>
              <w:rPr>
                <w:rFonts w:ascii="Times New Roman" w:hAnsi="Times New Roman"/>
                <w:sz w:val="15"/>
              </w:rPr>
            </w:r>
            <w:r>
              <w:rPr>
                <w:rFonts w:ascii="Times New Roman" w:hAnsi="Times New Roman"/>
                <w:b w:val="0"/>
                <w:sz w:val="15"/>
              </w:rPr>
              <w:t>5.5%</w:t>
            </w:r>
          </w:p>
        </w:tc>
      </w:tr>
      <w:tr>
        <w:tc>
          <w:tcPr>
            <w:tcW w:type="dxa" w:w="1440"/>
          </w:tcPr>
          <w:p>
            <w:pPr>
              <w:spacing w:before="20" w:after="20"/>
              <w:jc w:val="left"/>
            </w:pPr>
            <w:r>
              <w:rPr>
                <w:rFonts w:ascii="Times New Roman" w:hAnsi="Times New Roman"/>
                <w:sz w:val="15"/>
              </w:rPr>
            </w:r>
            <w:r>
              <w:rPr>
                <w:rFonts w:ascii="Times New Roman" w:hAnsi="Times New Roman"/>
                <w:b w:val="0"/>
                <w:sz w:val="15"/>
              </w:rPr>
              <w:t>NORMAL</w:t>
            </w:r>
          </w:p>
        </w:tc>
        <w:tc>
          <w:tcPr>
            <w:tcW w:type="dxa" w:w="893"/>
          </w:tcPr>
          <w:p>
            <w:pPr>
              <w:spacing w:before="20" w:after="20"/>
              <w:jc w:val="center"/>
            </w:pPr>
            <w:r>
              <w:rPr>
                <w:rFonts w:ascii="Times New Roman" w:hAnsi="Times New Roman"/>
                <w:sz w:val="15"/>
              </w:rPr>
            </w:r>
            <w:r>
              <w:rPr>
                <w:rFonts w:ascii="Times New Roman" w:hAnsi="Times New Roman"/>
                <w:b w:val="0"/>
                <w:sz w:val="15"/>
              </w:rPr>
              <w:t>653.4</w:t>
            </w:r>
          </w:p>
        </w:tc>
        <w:tc>
          <w:tcPr>
            <w:tcW w:type="dxa" w:w="864"/>
          </w:tcPr>
          <w:p>
            <w:pPr>
              <w:spacing w:before="20" w:after="20"/>
              <w:jc w:val="center"/>
            </w:pPr>
            <w:r>
              <w:rPr>
                <w:rFonts w:ascii="Times New Roman" w:hAnsi="Times New Roman"/>
                <w:sz w:val="15"/>
              </w:rPr>
            </w:r>
            <w:r>
              <w:rPr>
                <w:rFonts w:ascii="Times New Roman" w:hAnsi="Times New Roman"/>
                <w:b w:val="0"/>
                <w:sz w:val="15"/>
              </w:rPr>
              <w:t>4.1%</w:t>
            </w:r>
          </w:p>
        </w:tc>
        <w:tc>
          <w:tcPr>
            <w:tcW w:type="dxa" w:w="893"/>
          </w:tcPr>
          <w:p>
            <w:pPr>
              <w:spacing w:before="20" w:after="20"/>
              <w:jc w:val="center"/>
            </w:pPr>
            <w:r>
              <w:rPr>
                <w:rFonts w:ascii="Times New Roman" w:hAnsi="Times New Roman"/>
                <w:sz w:val="15"/>
              </w:rPr>
            </w:r>
            <w:r>
              <w:rPr>
                <w:rFonts w:ascii="Times New Roman" w:hAnsi="Times New Roman"/>
                <w:b w:val="0"/>
                <w:sz w:val="15"/>
              </w:rPr>
              <w:t>2602.2</w:t>
            </w:r>
          </w:p>
        </w:tc>
        <w:tc>
          <w:tcPr>
            <w:tcW w:type="dxa" w:w="835"/>
          </w:tcPr>
          <w:p>
            <w:pPr>
              <w:spacing w:before="20" w:after="20"/>
              <w:jc w:val="center"/>
            </w:pPr>
            <w:r>
              <w:rPr>
                <w:rFonts w:ascii="Times New Roman" w:hAnsi="Times New Roman"/>
                <w:sz w:val="15"/>
              </w:rPr>
            </w:r>
            <w:r>
              <w:rPr>
                <w:rFonts w:ascii="Times New Roman" w:hAnsi="Times New Roman"/>
                <w:b w:val="0"/>
                <w:sz w:val="15"/>
              </w:rPr>
              <w:t>4.6%</w:t>
            </w:r>
          </w:p>
        </w:tc>
      </w:tr>
      <w:tr>
        <w:tc>
          <w:tcPr>
            <w:tcW w:type="dxa" w:w="1440"/>
          </w:tcPr>
          <w:p>
            <w:pPr>
              <w:spacing w:before="20" w:after="20"/>
              <w:jc w:val="left"/>
            </w:pPr>
            <w:r>
              <w:rPr>
                <w:rFonts w:ascii="Times New Roman" w:hAnsi="Times New Roman"/>
                <w:sz w:val="15"/>
              </w:rPr>
            </w:r>
            <w:r>
              <w:rPr>
                <w:rFonts w:ascii="Times New Roman" w:hAnsi="Times New Roman"/>
                <w:b w:val="0"/>
                <w:sz w:val="15"/>
              </w:rPr>
              <w:t>PNEUMONIA</w:t>
            </w:r>
          </w:p>
        </w:tc>
        <w:tc>
          <w:tcPr>
            <w:tcW w:type="dxa" w:w="893"/>
          </w:tcPr>
          <w:p>
            <w:pPr>
              <w:spacing w:before="20" w:after="20"/>
              <w:jc w:val="center"/>
            </w:pPr>
            <w:r>
              <w:rPr>
                <w:rFonts w:ascii="Times New Roman" w:hAnsi="Times New Roman"/>
                <w:sz w:val="15"/>
              </w:rPr>
            </w:r>
            <w:r>
              <w:rPr>
                <w:rFonts w:ascii="Times New Roman" w:hAnsi="Times New Roman"/>
                <w:b w:val="0"/>
                <w:sz w:val="15"/>
              </w:rPr>
              <w:t>1310.4</w:t>
            </w:r>
          </w:p>
        </w:tc>
        <w:tc>
          <w:tcPr>
            <w:tcW w:type="dxa" w:w="864"/>
          </w:tcPr>
          <w:p>
            <w:pPr>
              <w:spacing w:before="20" w:after="20"/>
              <w:jc w:val="center"/>
            </w:pPr>
            <w:r>
              <w:rPr>
                <w:rFonts w:ascii="Times New Roman" w:hAnsi="Times New Roman"/>
                <w:sz w:val="15"/>
              </w:rPr>
            </w:r>
            <w:r>
              <w:rPr>
                <w:rFonts w:ascii="Times New Roman" w:hAnsi="Times New Roman"/>
                <w:b w:val="0"/>
                <w:sz w:val="15"/>
              </w:rPr>
              <w:t>6.4%</w:t>
            </w:r>
          </w:p>
        </w:tc>
        <w:tc>
          <w:tcPr>
            <w:tcW w:type="dxa" w:w="893"/>
          </w:tcPr>
          <w:p>
            <w:pPr>
              <w:spacing w:before="20" w:after="20"/>
              <w:jc w:val="center"/>
            </w:pPr>
            <w:r>
              <w:rPr>
                <w:rFonts w:ascii="Times New Roman" w:hAnsi="Times New Roman"/>
                <w:sz w:val="15"/>
              </w:rPr>
            </w:r>
            <w:r>
              <w:rPr>
                <w:rFonts w:ascii="Times New Roman" w:hAnsi="Times New Roman"/>
                <w:b w:val="0"/>
                <w:sz w:val="15"/>
              </w:rPr>
              <w:t>6436.5</w:t>
            </w:r>
          </w:p>
        </w:tc>
        <w:tc>
          <w:tcPr>
            <w:tcW w:type="dxa" w:w="835"/>
          </w:tcPr>
          <w:p>
            <w:pPr>
              <w:spacing w:before="20" w:after="20"/>
              <w:jc w:val="center"/>
            </w:pPr>
            <w:r>
              <w:rPr>
                <w:rFonts w:ascii="Times New Roman" w:hAnsi="Times New Roman"/>
                <w:sz w:val="15"/>
              </w:rPr>
            </w:r>
            <w:r>
              <w:rPr>
                <w:rFonts w:ascii="Times New Roman" w:hAnsi="Times New Roman"/>
                <w:b/>
                <w:sz w:val="15"/>
              </w:rPr>
              <w:t>8.9%</w:t>
            </w:r>
          </w:p>
        </w:tc>
      </w:tr>
      <w:tr>
        <w:tc>
          <w:tcPr>
            <w:tcW w:type="dxa" w:w="1440"/>
          </w:tcPr>
          <w:p>
            <w:pPr>
              <w:spacing w:before="20" w:after="20"/>
              <w:jc w:val="left"/>
            </w:pPr>
            <w:r>
              <w:rPr>
                <w:rFonts w:ascii="Times New Roman" w:hAnsi="Times New Roman"/>
                <w:sz w:val="15"/>
              </w:rPr>
            </w:r>
            <w:r>
              <w:rPr>
                <w:rFonts w:ascii="Times New Roman" w:hAnsi="Times New Roman"/>
                <w:b w:val="0"/>
                <w:sz w:val="15"/>
              </w:rPr>
              <w:t>Pooled</w:t>
            </w:r>
          </w:p>
        </w:tc>
        <w:tc>
          <w:tcPr>
            <w:tcW w:type="dxa" w:w="893"/>
          </w:tcPr>
          <w:p>
            <w:pPr>
              <w:spacing w:before="20" w:after="20"/>
              <w:jc w:val="center"/>
            </w:pPr>
            <w:r>
              <w:rPr>
                <w:rFonts w:ascii="Times New Roman" w:hAnsi="Times New Roman"/>
                <w:sz w:val="15"/>
              </w:rPr>
            </w:r>
            <w:r>
              <w:rPr>
                <w:rFonts w:ascii="Times New Roman" w:hAnsi="Times New Roman"/>
                <w:b w:val="0"/>
                <w:sz w:val="15"/>
              </w:rPr>
              <w:t>—</w:t>
            </w:r>
          </w:p>
        </w:tc>
        <w:tc>
          <w:tcPr>
            <w:tcW w:type="dxa" w:w="864"/>
          </w:tcPr>
          <w:p>
            <w:pPr>
              <w:spacing w:before="20" w:after="20"/>
              <w:jc w:val="center"/>
            </w:pPr>
            <w:r>
              <w:rPr>
                <w:rFonts w:ascii="Times New Roman" w:hAnsi="Times New Roman"/>
                <w:sz w:val="15"/>
              </w:rPr>
            </w:r>
            <w:r>
              <w:rPr>
                <w:rFonts w:ascii="Times New Roman" w:hAnsi="Times New Roman"/>
                <w:b w:val="0"/>
                <w:sz w:val="15"/>
              </w:rPr>
              <w:t>5.0%</w:t>
            </w:r>
          </w:p>
        </w:tc>
        <w:tc>
          <w:tcPr>
            <w:tcW w:type="dxa" w:w="893"/>
          </w:tcPr>
          <w:p>
            <w:pPr>
              <w:spacing w:before="20" w:after="20"/>
              <w:jc w:val="center"/>
            </w:pPr>
            <w:r>
              <w:rPr>
                <w:rFonts w:ascii="Times New Roman" w:hAnsi="Times New Roman"/>
                <w:sz w:val="15"/>
              </w:rPr>
            </w:r>
            <w:r>
              <w:rPr>
                <w:rFonts w:ascii="Times New Roman" w:hAnsi="Times New Roman"/>
                <w:b w:val="0"/>
                <w:sz w:val="15"/>
              </w:rPr>
              <w:t>—</w:t>
            </w:r>
          </w:p>
        </w:tc>
        <w:tc>
          <w:tcPr>
            <w:tcW w:type="dxa" w:w="835"/>
          </w:tcPr>
          <w:p>
            <w:pPr>
              <w:spacing w:before="20" w:after="20"/>
              <w:jc w:val="center"/>
            </w:pPr>
            <w:r>
              <w:rPr>
                <w:rFonts w:ascii="Times New Roman" w:hAnsi="Times New Roman"/>
                <w:sz w:val="15"/>
              </w:rPr>
            </w:r>
            <w:r>
              <w:rPr>
                <w:rFonts w:ascii="Times New Roman" w:hAnsi="Times New Roman"/>
                <w:b w:val="0"/>
                <w:sz w:val="15"/>
              </w:rPr>
              <w:t>5.0%</w:t>
            </w:r>
          </w:p>
        </w:tc>
      </w:tr>
    </w:tbl>
    <w:p>
      <w:pPr>
        <w:pStyle w:val="Text"/>
        <w:spacing w:after="80"/>
      </w:pPr>
    </w:p>
    <w:p>
      <w:pPr>
        <w:pStyle w:val="Text"/>
      </w:pPr>
      <w:r>
        <w:rPr>
          <w:rFonts w:ascii="Times New Roman" w:hAnsi="Times New Roman"/>
          <w:b w:val="0"/>
        </w:rPr>
        <w:t xml:space="preserve">All six non-radiograph probes are rejected by a wide margin. </w:t>
      </w:r>
      <w:r>
        <w:rPr>
          <w:rFonts w:ascii="Times New Roman" w:hAnsi="Times New Roman"/>
          <w:b/>
        </w:rPr>
        <w:t>The cutoffs are not comparable between models</w:t>
      </w:r>
      <w:r>
        <w:rPr>
          <w:rFonts w:ascii="Times New Roman" w:hAnsi="Times New Roman"/>
          <w:b w:val="0"/>
        </w:rPr>
        <w:t xml:space="preserve">: Mahalanobis distance is measured in 512 dimensions for ResNet18 and 2048 for ResNet50, so the raw thresholds differ by roughly a factor of four for reasons unrelated to detection quality; only rejection rates transfer. </w:t>
      </w:r>
      <w:r>
        <w:rPr>
          <w:rFonts w:ascii="Times New Roman" w:hAnsi="Times New Roman"/>
          <w:b/>
        </w:rPr>
        <w:t>The pooled rate is 5.0% for both by construction</w:t>
      </w:r>
      <w:r>
        <w:rPr>
          <w:rFonts w:ascii="Times New Roman" w:hAnsi="Times New Roman"/>
          <w:b w:val="0"/>
        </w:rPr>
        <w:t>, being the complement of the calibration percentile, and is therefore uninformative. The per-class rows differ in both directions, with ResNet50 rejecting fewer COVID-19 films and substantially more pneumonia films — the smallest class, on which the larger model’s abstention falls hardest, a cost invisible in the pooled figure.</w:t>
      </w:r>
    </w:p>
    <w:p>
      <w:pPr>
        <w:pStyle w:val="Text"/>
      </w:pPr>
      <w:r>
        <w:rPr>
          <w:rFonts w:ascii="Times New Roman" w:hAnsi="Times New Roman"/>
          <w:b/>
        </w:rPr>
        <w:t>The threshold does not transfer between datasets.</w:t>
      </w:r>
      <w:r>
        <w:rPr>
          <w:rFonts w:ascii="Times New Roman" w:hAnsi="Times New Roman"/>
          <w:b w:val="0"/>
        </w:rPr>
        <w:t xml:space="preserve"> On the clean images of the second dataset the ResNet18 rejection rate rises to 9.2% for COVID-19, 7.3% for NORMAL and 6.7% pooled: a cutoff calibrated at the 95th percentile on one dataset delivers approximately the 93rd on another, and that dataset is not even from different hospitals.</w:t>
      </w:r>
    </w:p>
    <w:p>
      <w:pPr>
        <w:pStyle w:val="Text"/>
      </w:pPr>
      <w:r>
        <w:rPr>
          <w:rFonts w:ascii="Times New Roman" w:hAnsi="Times New Roman"/>
          <w:b/>
        </w:rPr>
        <w:t>What abstention does not solve.</w:t>
      </w:r>
      <w:r>
        <w:rPr>
          <w:rFonts w:ascii="Times New Roman" w:hAnsi="Times New Roman"/>
          <w:b w:val="0"/>
        </w:rPr>
        <w:t xml:space="preserve"> The detector answers “unlike the training images”, which is not “not a chest X-ray” and is much further from “the model cannot handle this”. Lung opacity measured that gap: of 600 such films, real radiographs showing a finding the then-three-class model had no output for, only 34.5% were rejected. The remainder were accepted and classified </w:t>
      </w:r>
      <w:r>
        <w:rPr>
          <w:rFonts w:ascii="Times New Roman" w:hAnsi="Times New Roman"/>
          <w:b/>
        </w:rPr>
        <w:t>NORMAL 94.2% of the time at a mean confidence of 0.972.</w:t>
      </w:r>
      <w:r>
        <w:rPr>
          <w:rFonts w:ascii="Times New Roman" w:hAnsi="Times New Roman"/>
          <w:b w:val="0"/>
        </w:rPr>
        <w:t xml:space="preserve"> That measurement is why lung opacity is a class in the present model. It does not close the gap: effusion, pneumothorax, nodules and fibrosis remain real radiographs that resemble the training data and will be assigned the nearest available class — disproportionately, on this evidence, the one a reader is most likely to act on. </w:t>
      </w:r>
      <w:r>
        <w:rPr>
          <w:rFonts w:ascii="Times New Roman" w:hAnsi="Times New Roman"/>
          <w:b/>
        </w:rPr>
        <w:t>NORMAL here means “not the other three”, never “clear”.</w:t>
      </w:r>
    </w:p>
    <w:p>
      <w:pPr>
        <w:pStyle w:val="Heading1"/>
        <w:jc w:val="left"/>
      </w:pPr>
      <w:r>
        <w:rPr>
          <w:rFonts w:ascii="Times New Roman" w:hAnsi="Times New Roman"/>
          <w:b/>
          <w:sz w:val="24"/>
        </w:rPr>
        <w:t>5. Discussion</w:t>
      </w:r>
    </w:p>
    <w:p>
      <w:pPr>
        <w:pStyle w:val="Text"/>
      </w:pPr>
      <w:r>
        <w:rPr>
          <w:rFonts w:ascii="Times New Roman" w:hAnsi="Times New Roman"/>
          <w:b/>
        </w:rPr>
        <w:t>The explanations work, in the narrow sense in which they can be tested.</w:t>
      </w:r>
      <w:r>
        <w:rPr>
          <w:rFonts w:ascii="Times New Roman" w:hAnsi="Times New Roman"/>
          <w:b w:val="0"/>
        </w:rPr>
        <w:t xml:space="preserve"> Grad-CAM’s insertion AUC is far above a random ordering on both backbones, its heat is enriched on the lung fields, and SHAP attributions are roughly twice as consistent within a class as across classes. On every measurement we could construct, the two methods are doing something real.</w:t>
      </w:r>
    </w:p>
    <w:p>
      <w:pPr>
        <w:pStyle w:val="Text"/>
      </w:pPr>
      <w:r>
        <w:rPr>
          <w:rFonts w:ascii="Times New Roman" w:hAnsi="Times New Roman"/>
          <w:b/>
        </w:rPr>
        <w:t>They do not do the job the literature assigns them.</w:t>
      </w:r>
      <w:r>
        <w:rPr>
          <w:rFonts w:ascii="Times New Roman" w:hAnsi="Times New Roman"/>
          <w:b w:val="0"/>
        </w:rPr>
        <w:t xml:space="preserve"> The justification for adding XAI to a clinical classifier is normally that a clinician can inspect the explanation and detect a model relying on a spurious correlate. On this dataset the dominant spurious correlate is source archive, we can demonstrate by ablation that the model uses it, and neither explanation shows any sign of it. Grad-CAM cannot, because acquisition signature is present within the lung fields. SHAP cannot, because its baseline is drawn from the same confounded distribution. A clinician following the recommended procedure would inspect a reasonable-looking heatmap and a coherent attribution profile and conclude, incorrectly, that the prediction was grounded.</w:t>
      </w:r>
    </w:p>
    <w:p>
      <w:pPr>
        <w:pStyle w:val="Text"/>
      </w:pPr>
      <w:r>
        <w:rPr>
          <w:rFonts w:ascii="Times New Roman" w:hAnsi="Times New Roman"/>
          <w:b w:val="0"/>
        </w:rPr>
        <w:t>This is not an argument against explainability. It is an argument that explanation quality and dataset validity are separate axes, that a system can score well on the first while failing on the second, and that XAI work on medical imaging should report a provenance audit alongside its explanations rather than treating explanation as the audit.</w:t>
      </w:r>
    </w:p>
    <w:p>
      <w:pPr>
        <w:pStyle w:val="Text"/>
      </w:pPr>
      <w:r>
        <w:rPr>
          <w:rFonts w:ascii="Times New Roman" w:hAnsi="Times New Roman"/>
          <w:b/>
        </w:rPr>
        <w:t>On methodology.</w:t>
      </w:r>
      <w:r>
        <w:rPr>
          <w:rFonts w:ascii="Times New Roman" w:hAnsi="Times New Roman"/>
          <w:b w:val="0"/>
        </w:rPr>
        <w:t xml:space="preserve"> Three findings concern measurement rather than this model. First, the deletion metric is unreliable where perturbation drives inputs off-distribution, and the condition is detectable wherever an OOD detector exists. Second, </w:t>
      </w:r>
      <w:r>
        <w:rPr>
          <w:rFonts w:ascii="Times New Roman" w:hAnsi="Times New Roman"/>
          <w:b/>
        </w:rPr>
        <w:t>explanation metrics are not comparable across architectures in raw form</w:t>
      </w:r>
      <w:r>
        <w:rPr>
          <w:rFonts w:ascii="Times New Roman" w:hAnsi="Times New Roman"/>
          <w:b w:val="0"/>
        </w:rPr>
        <w:t>: ResNet50’s raw insertion AUC exceeds ResNet18’s, but its random control is 0.2740 against 0.4364, so the two are measured from different origins; the same applies to attribution similarity, where the within-class cosine halves between models purely as geometry while the ratio to the control barely moves. A comparison of raw figures would report the larger model as both better explained and less consistent, and both conclusions would be artefacts. Third, per-prediction SHAP charts should carry the share of attributed movement they represent.</w:t>
      </w:r>
    </w:p>
    <w:p>
      <w:pPr>
        <w:pStyle w:val="Text"/>
      </w:pPr>
      <w:r>
        <w:rPr>
          <w:rFonts w:ascii="Times New Roman" w:hAnsi="Times New Roman"/>
          <w:b/>
        </w:rPr>
        <w:t>Limitations.</w:t>
      </w:r>
      <w:r>
        <w:rPr>
          <w:rFonts w:ascii="Times New Roman" w:hAnsi="Times New Roman"/>
          <w:b w:val="0"/>
        </w:rPr>
        <w:t xml:space="preserve"> The provenance confound cannot be resolved within this dataset, because the correlation is total by construction. Labels derive from dataset compilers under varying and largely undocumented criteria, so agreement with them is not agreement with a diagnosis. Class balance does not reflect prevalence. The localisation metric uses lung masks rather than pathology annotations. Explanation fidelity was measured on 200 images per backbone at 50 perturbation steps, on the seed-42 checkpoints only — the seed study covers classification metrics, not explanation metrics, so we cannot say how much of the fidelity difference between backbones is itself run-to-run variance; the two-backbone agreement on the deletion/OOD relationship is likewise two points rather than a trend, and three seeds per arm is too few to estimate the noise precisely. No clinician evaluation was conducted, and our findings raise a specific question for one — whether clinicians shown a plausible heatmap from a shortcut-driven model correctly withhold trust. Our results predict they would not.</w:t>
      </w:r>
    </w:p>
    <w:p>
      <w:pPr>
        <w:pStyle w:val="Heading1"/>
        <w:jc w:val="left"/>
      </w:pPr>
      <w:r>
        <w:rPr>
          <w:rFonts w:ascii="Times New Roman" w:hAnsi="Times New Roman"/>
          <w:b/>
          <w:sz w:val="24"/>
        </w:rPr>
        <w:t>6. Conclusion and Future Work</w:t>
      </w:r>
    </w:p>
    <w:p>
      <w:pPr>
        <w:pStyle w:val="Text"/>
      </w:pPr>
      <w:r>
        <w:rPr>
          <w:rFonts w:ascii="Times New Roman" w:hAnsi="Times New Roman"/>
          <w:b w:val="0"/>
        </w:rPr>
        <w:t>We built a four-class chest radiograph classifier with a dual explainability pipeline and then measured what the explanations establish. Both backbones reach a macro F1 near 0.955 and a macro AUC near 0.993. Both explanations pass the fidelity tests we could construct. Neither detects the shortcut we can independently prove the model uses, and a 2.1× increase in capacity buys nothing distinguishable from seed noise while doubling the variance between runs — which is what one expects when the shortcut is already exhausted.</w:t>
      </w:r>
    </w:p>
    <w:p>
      <w:pPr>
        <w:pStyle w:val="Text"/>
      </w:pPr>
      <w:r>
        <w:rPr>
          <w:rFonts w:ascii="Times New Roman" w:hAnsi="Times New Roman"/>
          <w:b w:val="0"/>
        </w:rPr>
        <w:t>We also report two methodological findings of wider applicability: that the deletion metric is confounded by distribution shift in a way measurable using an out-of-distribution detector, and that explanation metrics require per-model controls before they can be compared across architectures.</w:t>
      </w:r>
    </w:p>
    <w:p>
      <w:pPr>
        <w:pStyle w:val="Text"/>
      </w:pPr>
      <w:r>
        <w:rPr>
          <w:rFonts w:ascii="Times New Roman" w:hAnsi="Times New Roman"/>
          <w:b w:val="0"/>
        </w:rPr>
        <w:t>Future work is, in priority order: validation on a cohort in which acquisition source does not predict the label, the only experiment that can settle the central question; explanation fidelity against genuine pathology annotations using RSNA or NIH bounding boxes; and a clinician study designed to test whether a plausible explanation from a shortcut-driven model induces unwarranted trust.</w:t>
      </w:r>
    </w:p>
    <w:p>
      <w:pPr>
        <w:pStyle w:val="Heading1"/>
        <w:jc w:val="left"/>
      </w:pPr>
      <w:r>
        <w:rPr>
          <w:rFonts w:ascii="Times New Roman" w:hAnsi="Times New Roman"/>
          <w:b/>
          <w:sz w:val="24"/>
        </w:rPr>
        <w:t>References</w:t>
      </w:r>
    </w:p>
    <w:p>
      <w:pPr>
        <w:pStyle w:val="Text"/>
        <w:spacing w:after="40"/>
        <w:ind w:left="317" w:hanging="317"/>
      </w:pPr>
      <w:r>
        <w:rPr>
          <w:rFonts w:ascii="Times New Roman" w:hAnsi="Times New Roman"/>
          <w:sz w:val="18"/>
        </w:rPr>
        <w:t>[1] R. R. Selvaraju, M. Cogswell, A. Das, R. Vedantam, D. Parikh, and D. Batra, “Grad-CAM: Visual Explanations from Deep Networks via Gradient-Based Localization,” Proc. IEEE ICCV, 2017.</w:t>
      </w:r>
    </w:p>
    <w:p>
      <w:pPr>
        <w:pStyle w:val="Text"/>
        <w:spacing w:after="40"/>
        <w:ind w:left="317" w:hanging="317"/>
      </w:pPr>
      <w:r>
        <w:rPr>
          <w:rFonts w:ascii="Times New Roman" w:hAnsi="Times New Roman"/>
          <w:sz w:val="18"/>
        </w:rPr>
        <w:t>[2] S. M. Lundberg and S. I. Lee, “A Unified Approach to Interpreting Model Predictions,” Advances in Neural Information Processing Systems (NeurIPS), 2017.</w:t>
      </w:r>
    </w:p>
    <w:p>
      <w:pPr>
        <w:pStyle w:val="Text"/>
        <w:spacing w:after="40"/>
        <w:ind w:left="317" w:hanging="317"/>
      </w:pPr>
      <w:r>
        <w:rPr>
          <w:rFonts w:ascii="Times New Roman" w:hAnsi="Times New Roman"/>
          <w:sz w:val="18"/>
        </w:rPr>
        <w:t>[3] K. He, X. Zhang, S. Ren, and J. Sun, “Deep Residual Learning for Image Recognition,” Proc. IEEE CVPR, 2016.</w:t>
      </w:r>
    </w:p>
    <w:p>
      <w:pPr>
        <w:pStyle w:val="Text"/>
        <w:spacing w:after="40"/>
        <w:ind w:left="317" w:hanging="317"/>
      </w:pPr>
      <w:r>
        <w:rPr>
          <w:rFonts w:ascii="Times New Roman" w:hAnsi="Times New Roman"/>
          <w:sz w:val="18"/>
        </w:rPr>
        <w:t>[4] X. Wang, Y. Peng, L. Lu, Z. Lu, M. Bagheri, and R. M. Summers, “ChestX-ray8: Hospital-Scale Chest X-ray Database and Benchmarks on Weakly-Supervised Classification and Localization of Common Thorax Diseases,” Proc. IEEE CVPR, 2017.</w:t>
      </w:r>
    </w:p>
    <w:p>
      <w:pPr>
        <w:pStyle w:val="Text"/>
        <w:spacing w:after="40"/>
        <w:ind w:left="317" w:hanging="317"/>
      </w:pPr>
      <w:r>
        <w:rPr>
          <w:rFonts w:ascii="Times New Roman" w:hAnsi="Times New Roman"/>
          <w:sz w:val="18"/>
        </w:rPr>
        <w:t>[5] J. Irvin, P. Rajpurkar, et al., “CheXpert: A Large Chest Radiograph Dataset with Uncertainty Labels and Expert Comparison,” Proc. AAAI, 2019.</w:t>
      </w:r>
    </w:p>
    <w:p>
      <w:pPr>
        <w:pStyle w:val="Text"/>
        <w:spacing w:after="40"/>
        <w:ind w:left="317" w:hanging="317"/>
      </w:pPr>
      <w:r>
        <w:rPr>
          <w:rFonts w:ascii="Times New Roman" w:hAnsi="Times New Roman"/>
          <w:sz w:val="18"/>
        </w:rPr>
        <w:t>[6] M. T. Ribeiro, S. Singh, and C. Guestrin, “Why Should I Trust You?: Explaining the Predictions of Any Classifier,” Proc. ACM SIGKDD, 2016.</w:t>
      </w:r>
    </w:p>
    <w:p>
      <w:pPr>
        <w:pStyle w:val="Text"/>
        <w:spacing w:after="40"/>
        <w:ind w:left="317" w:hanging="317"/>
      </w:pPr>
      <w:r>
        <w:rPr>
          <w:rFonts w:ascii="Times New Roman" w:hAnsi="Times New Roman"/>
          <w:sz w:val="18"/>
        </w:rPr>
        <w:t>[7] R. Geirhos, J.-H. Jacobsen, C. Michaelis, R. Zemel, W. Brendel, M. Bethge, and F. A. Wichmann, “Shortcut Learning in Deep Neural Networks,” Nature Machine Intelligence, vol. 2, no. 11, pp. 665–673, 2020.</w:t>
      </w:r>
    </w:p>
    <w:p>
      <w:pPr>
        <w:pStyle w:val="Text"/>
        <w:spacing w:after="40"/>
        <w:ind w:left="317" w:hanging="317"/>
      </w:pPr>
      <w:r>
        <w:rPr>
          <w:rFonts w:ascii="Times New Roman" w:hAnsi="Times New Roman"/>
          <w:sz w:val="18"/>
        </w:rPr>
        <w:t>[8] V. Petsiuk, A. Das, and K. Saenko, “RISE: Randomized Input Sampling for Explanation of Black-box Models,” Proc. British Machine Vision Conference (BMVC), 2018.</w:t>
      </w:r>
    </w:p>
    <w:p>
      <w:pPr>
        <w:pStyle w:val="Text"/>
        <w:spacing w:after="40"/>
        <w:ind w:left="317" w:hanging="317"/>
      </w:pPr>
      <w:r>
        <w:rPr>
          <w:rFonts w:ascii="Times New Roman" w:hAnsi="Times New Roman"/>
          <w:sz w:val="18"/>
        </w:rPr>
        <w:t>[9] K. Lee, K. Lee, H. Lee, and J. Shin, “A Simple Unified Framework for Detecting Out-of-Distribution Samples and Adversarial Attacks,” Advances in Neural Information Processing Systems (NeurIPS), 2018.</w:t>
      </w:r>
    </w:p>
    <w:p>
      <w:pPr>
        <w:pStyle w:val="Text"/>
        <w:spacing w:after="40"/>
        <w:ind w:left="317" w:hanging="317"/>
      </w:pPr>
      <w:r>
        <w:rPr>
          <w:rFonts w:ascii="Times New Roman" w:hAnsi="Times New Roman"/>
          <w:sz w:val="18"/>
        </w:rPr>
        <w:t>[10] A. J. DeGrave, J. D. Janizek, and S.-I. Lee, “AI for Radiographic COVID-19 Detection Selects Shortcuts Over Signal,” Nature Machine Intelligence, vol. 3, no. 7, pp. 610–619, 2021.</w:t>
      </w:r>
    </w:p>
    <w:p>
      <w:pPr>
        <w:pStyle w:val="Text"/>
        <w:spacing w:after="40"/>
        <w:ind w:left="317" w:hanging="317"/>
      </w:pPr>
      <w:r>
        <w:rPr>
          <w:rFonts w:ascii="Times New Roman" w:hAnsi="Times New Roman"/>
          <w:sz w:val="18"/>
        </w:rPr>
        <w:t>[11] J. Adebayo, J. Gilmer, M. Muelly, I. Goodfellow, M. Hardt, and B. Kim, “Sanity Checks for Saliency Maps,” Advances in Neural Information Processing Systems (NeurIPS), 2018.</w:t>
      </w:r>
    </w:p>
    <w:p>
      <w:pPr>
        <w:sectPr>
          <w:type w:val="continuous"/>
          <w:pgSz w:w="11907" w:h="16839" w:code="9"/>
          <w:pgMar w:top="1008" w:right="806" w:bottom="1008" w:left="965" w:header="144" w:footer="432" w:gutter="0"/>
          <w:cols w:num="2" w:space="288"/>
          <w:docGrid w:linePitch="272"/>
        </w:sectPr>
      </w:pPr>
    </w:p>
    <w:sectPr w:rsidR="00AE2804" w:rsidSect="005C361D">
      <w:type w:val="continuous"/>
      <w:pgSz w:w="11907" w:h="16839" w:code="9"/>
      <w:pgMar w:top="1008" w:right="806" w:bottom="1008" w:left="965" w:header="144"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FF8D" w14:textId="77777777" w:rsidR="00863D5A" w:rsidRDefault="00863D5A">
      <w:r>
        <w:separator/>
      </w:r>
    </w:p>
  </w:endnote>
  <w:endnote w:type="continuationSeparator" w:id="0">
    <w:p w14:paraId="54BF54F3" w14:textId="77777777" w:rsidR="00863D5A" w:rsidRDefault="00863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4F407" w14:textId="77777777" w:rsidR="00863D5A" w:rsidRDefault="00863D5A"/>
  </w:footnote>
  <w:footnote w:type="continuationSeparator" w:id="0">
    <w:p w14:paraId="16F9CED8" w14:textId="77777777" w:rsidR="00863D5A" w:rsidRDefault="00863D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rPr>
        <w:rFonts w:cs="Times New Roman"/>
      </w:rPr>
    </w:lvl>
    <w:lvl w:ilvl="1">
      <w:start w:val="1"/>
      <w:numFmt w:val="upperLetter"/>
      <w:pStyle w:val="Heading2"/>
      <w:lvlText w:val="%2."/>
      <w:legacy w:legacy="1" w:legacySpace="144" w:legacyIndent="144"/>
      <w:lvlJc w:val="left"/>
      <w:rPr>
        <w:rFonts w:cs="Times New Roman"/>
      </w:rPr>
    </w:lvl>
    <w:lvl w:ilvl="2">
      <w:start w:val="1"/>
      <w:numFmt w:val="decimal"/>
      <w:pStyle w:val="Heading3"/>
      <w:lvlText w:val="%3)"/>
      <w:legacy w:legacy="1" w:legacySpace="144" w:legacyIndent="144"/>
      <w:lvlJc w:val="left"/>
      <w:rPr>
        <w:rFonts w:cs="Times New Roman"/>
      </w:rPr>
    </w:lvl>
    <w:lvl w:ilvl="3">
      <w:start w:val="1"/>
      <w:numFmt w:val="lowerLetter"/>
      <w:pStyle w:val="Heading4"/>
      <w:lvlText w:val="%4)"/>
      <w:legacy w:legacy="1" w:legacySpace="0" w:legacyIndent="720"/>
      <w:lvlJc w:val="left"/>
      <w:pPr>
        <w:ind w:left="1152" w:hanging="720"/>
      </w:pPr>
      <w:rPr>
        <w:rFonts w:cs="Times New Roman"/>
      </w:rPr>
    </w:lvl>
    <w:lvl w:ilvl="4">
      <w:start w:val="1"/>
      <w:numFmt w:val="decimal"/>
      <w:pStyle w:val="Heading5"/>
      <w:lvlText w:val="(%5)"/>
      <w:legacy w:legacy="1" w:legacySpace="0" w:legacyIndent="720"/>
      <w:lvlJc w:val="left"/>
      <w:pPr>
        <w:ind w:left="1872" w:hanging="720"/>
      </w:pPr>
      <w:rPr>
        <w:rFonts w:cs="Times New Roman"/>
      </w:rPr>
    </w:lvl>
    <w:lvl w:ilvl="5">
      <w:start w:val="1"/>
      <w:numFmt w:val="lowerLetter"/>
      <w:pStyle w:val="Heading6"/>
      <w:lvlText w:val="(%6)"/>
      <w:legacy w:legacy="1" w:legacySpace="0" w:legacyIndent="720"/>
      <w:lvlJc w:val="left"/>
      <w:pPr>
        <w:ind w:left="2592" w:hanging="720"/>
      </w:pPr>
      <w:rPr>
        <w:rFonts w:cs="Times New Roman"/>
      </w:rPr>
    </w:lvl>
    <w:lvl w:ilvl="6">
      <w:start w:val="1"/>
      <w:numFmt w:val="lowerRoman"/>
      <w:pStyle w:val="Heading7"/>
      <w:lvlText w:val="(%7)"/>
      <w:legacy w:legacy="1" w:legacySpace="0" w:legacyIndent="720"/>
      <w:lvlJc w:val="left"/>
      <w:pPr>
        <w:ind w:left="3312" w:hanging="720"/>
      </w:pPr>
      <w:rPr>
        <w:rFonts w:cs="Times New Roman"/>
      </w:rPr>
    </w:lvl>
    <w:lvl w:ilvl="7">
      <w:start w:val="1"/>
      <w:numFmt w:val="lowerLetter"/>
      <w:pStyle w:val="Heading8"/>
      <w:lvlText w:val="(%8)"/>
      <w:legacy w:legacy="1" w:legacySpace="0" w:legacyIndent="720"/>
      <w:lvlJc w:val="left"/>
      <w:pPr>
        <w:ind w:left="4032" w:hanging="720"/>
      </w:pPr>
      <w:rPr>
        <w:rFonts w:cs="Times New Roman"/>
      </w:rPr>
    </w:lvl>
    <w:lvl w:ilvl="8">
      <w:start w:val="1"/>
      <w:numFmt w:val="lowerRoman"/>
      <w:pStyle w:val="Heading9"/>
      <w:lvlText w:val="(%9)"/>
      <w:legacy w:legacy="1" w:legacySpace="0" w:legacyIndent="720"/>
      <w:lvlJc w:val="left"/>
      <w:pPr>
        <w:ind w:left="4752" w:hanging="720"/>
      </w:pPr>
      <w:rPr>
        <w:rFonts w:cs="Times New Roman"/>
      </w:rPr>
    </w:lvl>
  </w:abstractNum>
  <w:abstractNum w:abstractNumId="1" w15:restartNumberingAfterBreak="0">
    <w:nsid w:val="2A745078"/>
    <w:multiLevelType w:val="hybridMultilevel"/>
    <w:tmpl w:val="B8B236FE"/>
    <w:lvl w:ilvl="0" w:tplc="C1C42ABC">
      <w:start w:val="1"/>
      <w:numFmt w:val="bullet"/>
      <w:lvlText w:val=""/>
      <w:lvlJc w:val="left"/>
      <w:pPr>
        <w:tabs>
          <w:tab w:val="num" w:pos="288"/>
        </w:tabs>
        <w:ind w:left="288" w:hanging="28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rPr>
        <w:rFonts w:cs="Times New Roman"/>
      </w:rPr>
    </w:lvl>
  </w:abstractNum>
  <w:abstractNum w:abstractNumId="3" w15:restartNumberingAfterBreak="0">
    <w:nsid w:val="3D0071CD"/>
    <w:multiLevelType w:val="hybridMultilevel"/>
    <w:tmpl w:val="EA9025C0"/>
    <w:lvl w:ilvl="0" w:tplc="0409000F">
      <w:start w:val="1"/>
      <w:numFmt w:val="decimal"/>
      <w:lvlText w:val="%1."/>
      <w:lvlJc w:val="left"/>
      <w:pPr>
        <w:tabs>
          <w:tab w:val="num" w:pos="360"/>
        </w:tabs>
        <w:ind w:left="360" w:hanging="360"/>
      </w:pPr>
      <w:rPr>
        <w:rFonts w:cs="Times New Roman" w:hint="default"/>
      </w:rPr>
    </w:lvl>
    <w:lvl w:ilvl="1" w:tplc="5EB6DFB2">
      <w:start w:val="2"/>
      <w:numFmt w:val="decimal"/>
      <w:lvlText w:val="%2"/>
      <w:lvlJc w:val="left"/>
      <w:pPr>
        <w:tabs>
          <w:tab w:val="num" w:pos="1080"/>
        </w:tabs>
        <w:ind w:left="1080" w:hanging="360"/>
      </w:pPr>
      <w:rPr>
        <w:rFonts w:cs="Times New Roman" w:hint="default"/>
      </w:rPr>
    </w:lvl>
    <w:lvl w:ilvl="2" w:tplc="0409001B">
      <w:start w:val="1"/>
      <w:numFmt w:val="lowerRoman"/>
      <w:lvlText w:val="%3."/>
      <w:lvlJc w:val="right"/>
      <w:pPr>
        <w:tabs>
          <w:tab w:val="num" w:pos="1800"/>
        </w:tabs>
        <w:ind w:left="1800" w:hanging="180"/>
      </w:pPr>
      <w:rPr>
        <w:rFonts w:cs="Times New Roman"/>
      </w:rPr>
    </w:lvl>
    <w:lvl w:ilvl="3" w:tplc="C8FAC39E">
      <w:start w:val="1"/>
      <w:numFmt w:val="upperLetter"/>
      <w:lvlText w:val="%4."/>
      <w:lvlJc w:val="left"/>
      <w:pPr>
        <w:tabs>
          <w:tab w:val="num" w:pos="2520"/>
        </w:tabs>
        <w:ind w:left="2520" w:hanging="360"/>
      </w:pPr>
      <w:rPr>
        <w:rFonts w:cs="Times New Roman" w:hint="default"/>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4" w15:restartNumberingAfterBreak="0">
    <w:nsid w:val="3DD84A82"/>
    <w:multiLevelType w:val="hybridMultilevel"/>
    <w:tmpl w:val="50C639B4"/>
    <w:lvl w:ilvl="0" w:tplc="65888BD6">
      <w:start w:val="1"/>
      <w:numFmt w:val="decimal"/>
      <w:lvlText w:val="[%1]"/>
      <w:lvlJc w:val="left"/>
      <w:pPr>
        <w:tabs>
          <w:tab w:val="num" w:pos="18"/>
        </w:tabs>
        <w:ind w:left="522" w:hanging="432"/>
      </w:pPr>
      <w:rPr>
        <w:rFonts w:cs="Times New Roman" w:hint="default"/>
      </w:rPr>
    </w:lvl>
    <w:lvl w:ilvl="1" w:tplc="04090019">
      <w:start w:val="1"/>
      <w:numFmt w:val="lowerLetter"/>
      <w:lvlText w:val="%2."/>
      <w:lvlJc w:val="left"/>
      <w:pPr>
        <w:tabs>
          <w:tab w:val="num" w:pos="1098"/>
        </w:tabs>
        <w:ind w:left="1098" w:hanging="360"/>
      </w:pPr>
      <w:rPr>
        <w:rFonts w:cs="Times New Roman"/>
      </w:rPr>
    </w:lvl>
    <w:lvl w:ilvl="2" w:tplc="0409001B">
      <w:start w:val="1"/>
      <w:numFmt w:val="lowerRoman"/>
      <w:lvlText w:val="%3."/>
      <w:lvlJc w:val="right"/>
      <w:pPr>
        <w:tabs>
          <w:tab w:val="num" w:pos="1818"/>
        </w:tabs>
        <w:ind w:left="1818" w:hanging="180"/>
      </w:pPr>
      <w:rPr>
        <w:rFonts w:cs="Times New Roman"/>
      </w:rPr>
    </w:lvl>
    <w:lvl w:ilvl="3" w:tplc="0409000F">
      <w:start w:val="1"/>
      <w:numFmt w:val="decimal"/>
      <w:lvlText w:val="%4."/>
      <w:lvlJc w:val="left"/>
      <w:pPr>
        <w:tabs>
          <w:tab w:val="num" w:pos="2538"/>
        </w:tabs>
        <w:ind w:left="2538" w:hanging="360"/>
      </w:pPr>
      <w:rPr>
        <w:rFonts w:cs="Times New Roman"/>
      </w:rPr>
    </w:lvl>
    <w:lvl w:ilvl="4" w:tplc="04090019">
      <w:start w:val="1"/>
      <w:numFmt w:val="lowerLetter"/>
      <w:lvlText w:val="%5."/>
      <w:lvlJc w:val="left"/>
      <w:pPr>
        <w:tabs>
          <w:tab w:val="num" w:pos="3258"/>
        </w:tabs>
        <w:ind w:left="3258" w:hanging="360"/>
      </w:pPr>
      <w:rPr>
        <w:rFonts w:cs="Times New Roman"/>
      </w:rPr>
    </w:lvl>
    <w:lvl w:ilvl="5" w:tplc="0409001B">
      <w:start w:val="1"/>
      <w:numFmt w:val="lowerRoman"/>
      <w:lvlText w:val="%6."/>
      <w:lvlJc w:val="right"/>
      <w:pPr>
        <w:tabs>
          <w:tab w:val="num" w:pos="3978"/>
        </w:tabs>
        <w:ind w:left="3978" w:hanging="180"/>
      </w:pPr>
      <w:rPr>
        <w:rFonts w:cs="Times New Roman"/>
      </w:rPr>
    </w:lvl>
    <w:lvl w:ilvl="6" w:tplc="0409000F">
      <w:start w:val="1"/>
      <w:numFmt w:val="decimal"/>
      <w:lvlText w:val="%7."/>
      <w:lvlJc w:val="left"/>
      <w:pPr>
        <w:tabs>
          <w:tab w:val="num" w:pos="4698"/>
        </w:tabs>
        <w:ind w:left="4698" w:hanging="360"/>
      </w:pPr>
      <w:rPr>
        <w:rFonts w:cs="Times New Roman"/>
      </w:rPr>
    </w:lvl>
    <w:lvl w:ilvl="7" w:tplc="04090019">
      <w:start w:val="1"/>
      <w:numFmt w:val="lowerLetter"/>
      <w:lvlText w:val="%8."/>
      <w:lvlJc w:val="left"/>
      <w:pPr>
        <w:tabs>
          <w:tab w:val="num" w:pos="5418"/>
        </w:tabs>
        <w:ind w:left="5418" w:hanging="360"/>
      </w:pPr>
      <w:rPr>
        <w:rFonts w:cs="Times New Roman"/>
      </w:rPr>
    </w:lvl>
    <w:lvl w:ilvl="8" w:tplc="0409001B">
      <w:start w:val="1"/>
      <w:numFmt w:val="lowerRoman"/>
      <w:lvlText w:val="%9."/>
      <w:lvlJc w:val="right"/>
      <w:pPr>
        <w:tabs>
          <w:tab w:val="num" w:pos="6138"/>
        </w:tabs>
        <w:ind w:left="6138" w:hanging="180"/>
      </w:pPr>
      <w:rPr>
        <w:rFonts w:cs="Times New Roman"/>
      </w:rPr>
    </w:lvl>
  </w:abstractNum>
  <w:abstractNum w:abstractNumId="5" w15:restartNumberingAfterBreak="0">
    <w:nsid w:val="50B4564B"/>
    <w:multiLevelType w:val="multilevel"/>
    <w:tmpl w:val="80F0E214"/>
    <w:lvl w:ilvl="0">
      <w:start w:val="3"/>
      <w:numFmt w:val="decimal"/>
      <w:lvlText w:val="%1"/>
      <w:lvlJc w:val="left"/>
      <w:pPr>
        <w:tabs>
          <w:tab w:val="num" w:pos="465"/>
        </w:tabs>
        <w:ind w:left="465" w:hanging="465"/>
      </w:pPr>
      <w:rPr>
        <w:rFonts w:cs="Times New Roman" w:hint="default"/>
      </w:rPr>
    </w:lvl>
    <w:lvl w:ilvl="1">
      <w:start w:val="1"/>
      <w:numFmt w:val="decimal"/>
      <w:lvlText w:val="%1.%2"/>
      <w:lvlJc w:val="left"/>
      <w:pPr>
        <w:tabs>
          <w:tab w:val="num" w:pos="654"/>
        </w:tabs>
        <w:ind w:left="654" w:hanging="465"/>
      </w:pPr>
      <w:rPr>
        <w:rFonts w:cs="Times New Roman" w:hint="default"/>
      </w:rPr>
    </w:lvl>
    <w:lvl w:ilvl="2">
      <w:start w:val="1"/>
      <w:numFmt w:val="decimal"/>
      <w:lvlText w:val="%1.%2.%3"/>
      <w:lvlJc w:val="left"/>
      <w:pPr>
        <w:tabs>
          <w:tab w:val="num" w:pos="1098"/>
        </w:tabs>
        <w:ind w:left="1098" w:hanging="720"/>
      </w:pPr>
      <w:rPr>
        <w:rFonts w:cs="Times New Roman" w:hint="default"/>
      </w:rPr>
    </w:lvl>
    <w:lvl w:ilvl="3">
      <w:start w:val="1"/>
      <w:numFmt w:val="decimal"/>
      <w:lvlText w:val="%1.%2.%3.%4"/>
      <w:lvlJc w:val="left"/>
      <w:pPr>
        <w:tabs>
          <w:tab w:val="num" w:pos="1287"/>
        </w:tabs>
        <w:ind w:left="1287" w:hanging="720"/>
      </w:pPr>
      <w:rPr>
        <w:rFonts w:cs="Times New Roman" w:hint="default"/>
      </w:rPr>
    </w:lvl>
    <w:lvl w:ilvl="4">
      <w:start w:val="1"/>
      <w:numFmt w:val="decimal"/>
      <w:lvlText w:val="%1.%2.%3.%4.%5"/>
      <w:lvlJc w:val="left"/>
      <w:pPr>
        <w:tabs>
          <w:tab w:val="num" w:pos="1476"/>
        </w:tabs>
        <w:ind w:left="1476" w:hanging="720"/>
      </w:pPr>
      <w:rPr>
        <w:rFonts w:cs="Times New Roman" w:hint="default"/>
      </w:rPr>
    </w:lvl>
    <w:lvl w:ilvl="5">
      <w:start w:val="1"/>
      <w:numFmt w:val="decimal"/>
      <w:lvlText w:val="%1.%2.%3.%4.%5.%6"/>
      <w:lvlJc w:val="left"/>
      <w:pPr>
        <w:tabs>
          <w:tab w:val="num" w:pos="2025"/>
        </w:tabs>
        <w:ind w:left="2025" w:hanging="1080"/>
      </w:pPr>
      <w:rPr>
        <w:rFonts w:cs="Times New Roman" w:hint="default"/>
      </w:rPr>
    </w:lvl>
    <w:lvl w:ilvl="6">
      <w:start w:val="1"/>
      <w:numFmt w:val="decimal"/>
      <w:lvlText w:val="%1.%2.%3.%4.%5.%6.%7"/>
      <w:lvlJc w:val="left"/>
      <w:pPr>
        <w:tabs>
          <w:tab w:val="num" w:pos="2214"/>
        </w:tabs>
        <w:ind w:left="2214" w:hanging="1080"/>
      </w:pPr>
      <w:rPr>
        <w:rFonts w:cs="Times New Roman" w:hint="default"/>
      </w:rPr>
    </w:lvl>
    <w:lvl w:ilvl="7">
      <w:start w:val="1"/>
      <w:numFmt w:val="decimal"/>
      <w:lvlText w:val="%1.%2.%3.%4.%5.%6.%7.%8"/>
      <w:lvlJc w:val="left"/>
      <w:pPr>
        <w:tabs>
          <w:tab w:val="num" w:pos="2763"/>
        </w:tabs>
        <w:ind w:left="2763" w:hanging="1440"/>
      </w:pPr>
      <w:rPr>
        <w:rFonts w:cs="Times New Roman" w:hint="default"/>
      </w:rPr>
    </w:lvl>
    <w:lvl w:ilvl="8">
      <w:start w:val="1"/>
      <w:numFmt w:val="decimal"/>
      <w:lvlText w:val="%1.%2.%3.%4.%5.%6.%7.%8.%9"/>
      <w:lvlJc w:val="left"/>
      <w:pPr>
        <w:tabs>
          <w:tab w:val="num" w:pos="2952"/>
        </w:tabs>
        <w:ind w:left="2952" w:hanging="1440"/>
      </w:pPr>
      <w:rPr>
        <w:rFonts w:cs="Times New Roman" w:hint="default"/>
      </w:rPr>
    </w:lvl>
  </w:abstractNum>
  <w:abstractNum w:abstractNumId="6" w15:restartNumberingAfterBreak="0">
    <w:nsid w:val="76143348"/>
    <w:multiLevelType w:val="hybridMultilevel"/>
    <w:tmpl w:val="FF260EA4"/>
    <w:lvl w:ilvl="0" w:tplc="C1C42ABC">
      <w:start w:val="1"/>
      <w:numFmt w:val="bullet"/>
      <w:lvlText w:val=""/>
      <w:lvlJc w:val="left"/>
      <w:pPr>
        <w:tabs>
          <w:tab w:val="num" w:pos="288"/>
        </w:tabs>
        <w:ind w:left="288" w:hanging="28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E2D53F0"/>
    <w:multiLevelType w:val="hybridMultilevel"/>
    <w:tmpl w:val="C7A0CC96"/>
    <w:lvl w:ilvl="0" w:tplc="45D693DC">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171648798">
    <w:abstractNumId w:val="0"/>
  </w:num>
  <w:num w:numId="2" w16cid:durableId="1608930795">
    <w:abstractNumId w:val="2"/>
  </w:num>
  <w:num w:numId="3" w16cid:durableId="1411733639">
    <w:abstractNumId w:val="6"/>
  </w:num>
  <w:num w:numId="4" w16cid:durableId="971325319">
    <w:abstractNumId w:val="1"/>
  </w:num>
  <w:num w:numId="5" w16cid:durableId="2088838208">
    <w:abstractNumId w:val="7"/>
  </w:num>
  <w:num w:numId="6" w16cid:durableId="2061661162">
    <w:abstractNumId w:val="4"/>
  </w:num>
  <w:num w:numId="7" w16cid:durableId="1084642489">
    <w:abstractNumId w:val="3"/>
  </w:num>
  <w:num w:numId="8" w16cid:durableId="332102724">
    <w:abstractNumId w:val="5"/>
  </w:num>
  <w:num w:numId="9" w16cid:durableId="55832770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DU1N7EwNrG0NDK1MDJX0lEKTi0uzszPAykwqQUA1fIDgiwAAAA="/>
  </w:docVars>
  <w:rsids>
    <w:rsidRoot w:val="0056403D"/>
    <w:rsid w:val="000014E8"/>
    <w:rsid w:val="00011892"/>
    <w:rsid w:val="000268EC"/>
    <w:rsid w:val="00027E97"/>
    <w:rsid w:val="0003546B"/>
    <w:rsid w:val="000403DB"/>
    <w:rsid w:val="00051F98"/>
    <w:rsid w:val="00055E64"/>
    <w:rsid w:val="00062480"/>
    <w:rsid w:val="00075F35"/>
    <w:rsid w:val="000777AF"/>
    <w:rsid w:val="00080DFE"/>
    <w:rsid w:val="00081634"/>
    <w:rsid w:val="00082164"/>
    <w:rsid w:val="000848A1"/>
    <w:rsid w:val="00090C64"/>
    <w:rsid w:val="00095422"/>
    <w:rsid w:val="0009597D"/>
    <w:rsid w:val="000979F5"/>
    <w:rsid w:val="000A0336"/>
    <w:rsid w:val="000A51CA"/>
    <w:rsid w:val="000A56A3"/>
    <w:rsid w:val="000B02D3"/>
    <w:rsid w:val="000B1C94"/>
    <w:rsid w:val="000B2286"/>
    <w:rsid w:val="000B2DB4"/>
    <w:rsid w:val="000C7D20"/>
    <w:rsid w:val="000D01F5"/>
    <w:rsid w:val="000D021C"/>
    <w:rsid w:val="000D3174"/>
    <w:rsid w:val="000D5253"/>
    <w:rsid w:val="000D6CDB"/>
    <w:rsid w:val="000F4492"/>
    <w:rsid w:val="000F44BF"/>
    <w:rsid w:val="000F762E"/>
    <w:rsid w:val="00100721"/>
    <w:rsid w:val="00103950"/>
    <w:rsid w:val="00107290"/>
    <w:rsid w:val="001129EF"/>
    <w:rsid w:val="00116384"/>
    <w:rsid w:val="00121321"/>
    <w:rsid w:val="00130BE5"/>
    <w:rsid w:val="00132586"/>
    <w:rsid w:val="00132855"/>
    <w:rsid w:val="00142075"/>
    <w:rsid w:val="00153D4E"/>
    <w:rsid w:val="00155AF8"/>
    <w:rsid w:val="0015701F"/>
    <w:rsid w:val="001614DC"/>
    <w:rsid w:val="00161A1D"/>
    <w:rsid w:val="00161CC4"/>
    <w:rsid w:val="0016229B"/>
    <w:rsid w:val="001647C6"/>
    <w:rsid w:val="00164A7A"/>
    <w:rsid w:val="00164BB0"/>
    <w:rsid w:val="001673F7"/>
    <w:rsid w:val="001726C9"/>
    <w:rsid w:val="001745C8"/>
    <w:rsid w:val="00181F49"/>
    <w:rsid w:val="001961F1"/>
    <w:rsid w:val="00197DFC"/>
    <w:rsid w:val="001A236D"/>
    <w:rsid w:val="001A35F1"/>
    <w:rsid w:val="001A3CFF"/>
    <w:rsid w:val="001A5B34"/>
    <w:rsid w:val="001B3432"/>
    <w:rsid w:val="001C092B"/>
    <w:rsid w:val="001C2A2F"/>
    <w:rsid w:val="001D37BD"/>
    <w:rsid w:val="001D4DDD"/>
    <w:rsid w:val="001D6A3F"/>
    <w:rsid w:val="001D6B99"/>
    <w:rsid w:val="001E109E"/>
    <w:rsid w:val="001F65D6"/>
    <w:rsid w:val="00203B19"/>
    <w:rsid w:val="0020444C"/>
    <w:rsid w:val="00206B02"/>
    <w:rsid w:val="00206B94"/>
    <w:rsid w:val="00206BF8"/>
    <w:rsid w:val="00210CAD"/>
    <w:rsid w:val="002116E2"/>
    <w:rsid w:val="00212436"/>
    <w:rsid w:val="00213E77"/>
    <w:rsid w:val="002154D3"/>
    <w:rsid w:val="00221473"/>
    <w:rsid w:val="0022584F"/>
    <w:rsid w:val="00227CD9"/>
    <w:rsid w:val="002317AB"/>
    <w:rsid w:val="0023287C"/>
    <w:rsid w:val="002408C8"/>
    <w:rsid w:val="0024234C"/>
    <w:rsid w:val="00242A5F"/>
    <w:rsid w:val="00250613"/>
    <w:rsid w:val="00255171"/>
    <w:rsid w:val="00280BB0"/>
    <w:rsid w:val="00287160"/>
    <w:rsid w:val="00292BD7"/>
    <w:rsid w:val="002934EE"/>
    <w:rsid w:val="002A6ADF"/>
    <w:rsid w:val="002A6E18"/>
    <w:rsid w:val="002B4FBD"/>
    <w:rsid w:val="002C51FC"/>
    <w:rsid w:val="002C7F67"/>
    <w:rsid w:val="002D2464"/>
    <w:rsid w:val="002D2792"/>
    <w:rsid w:val="002D3FD5"/>
    <w:rsid w:val="002D4E59"/>
    <w:rsid w:val="002E0F67"/>
    <w:rsid w:val="002E3D6B"/>
    <w:rsid w:val="002E773F"/>
    <w:rsid w:val="002F4694"/>
    <w:rsid w:val="002F61AB"/>
    <w:rsid w:val="002F6E16"/>
    <w:rsid w:val="002F7EDA"/>
    <w:rsid w:val="00300698"/>
    <w:rsid w:val="003037C2"/>
    <w:rsid w:val="00305E35"/>
    <w:rsid w:val="00311CA8"/>
    <w:rsid w:val="00312276"/>
    <w:rsid w:val="00314CBA"/>
    <w:rsid w:val="00317DDA"/>
    <w:rsid w:val="00324719"/>
    <w:rsid w:val="00326CAF"/>
    <w:rsid w:val="00336686"/>
    <w:rsid w:val="00346BFA"/>
    <w:rsid w:val="00350599"/>
    <w:rsid w:val="003529DB"/>
    <w:rsid w:val="00357C41"/>
    <w:rsid w:val="0036070F"/>
    <w:rsid w:val="00364AA8"/>
    <w:rsid w:val="00372D78"/>
    <w:rsid w:val="00377B3E"/>
    <w:rsid w:val="003814EB"/>
    <w:rsid w:val="0038335E"/>
    <w:rsid w:val="00386E0A"/>
    <w:rsid w:val="00392E10"/>
    <w:rsid w:val="00397036"/>
    <w:rsid w:val="003B4006"/>
    <w:rsid w:val="003B6289"/>
    <w:rsid w:val="003B62B8"/>
    <w:rsid w:val="003C31C2"/>
    <w:rsid w:val="003C453D"/>
    <w:rsid w:val="003C5384"/>
    <w:rsid w:val="003F10C8"/>
    <w:rsid w:val="003F2547"/>
    <w:rsid w:val="003F47A1"/>
    <w:rsid w:val="003F506D"/>
    <w:rsid w:val="003F767A"/>
    <w:rsid w:val="0041084D"/>
    <w:rsid w:val="00412C79"/>
    <w:rsid w:val="00414037"/>
    <w:rsid w:val="0041673E"/>
    <w:rsid w:val="004228B1"/>
    <w:rsid w:val="004324F6"/>
    <w:rsid w:val="004329C1"/>
    <w:rsid w:val="004338CB"/>
    <w:rsid w:val="00447B7A"/>
    <w:rsid w:val="00450193"/>
    <w:rsid w:val="00454CAB"/>
    <w:rsid w:val="0045676E"/>
    <w:rsid w:val="00462BDF"/>
    <w:rsid w:val="004653DB"/>
    <w:rsid w:val="00466C20"/>
    <w:rsid w:val="00467BFD"/>
    <w:rsid w:val="00482E92"/>
    <w:rsid w:val="004834FB"/>
    <w:rsid w:val="00485387"/>
    <w:rsid w:val="0049152E"/>
    <w:rsid w:val="004921D5"/>
    <w:rsid w:val="004945B9"/>
    <w:rsid w:val="004946FB"/>
    <w:rsid w:val="0049787F"/>
    <w:rsid w:val="004A3460"/>
    <w:rsid w:val="004A4A8B"/>
    <w:rsid w:val="004A7D90"/>
    <w:rsid w:val="004B7749"/>
    <w:rsid w:val="004C631D"/>
    <w:rsid w:val="004C6842"/>
    <w:rsid w:val="004D31D5"/>
    <w:rsid w:val="004D49A8"/>
    <w:rsid w:val="004D4BDB"/>
    <w:rsid w:val="004D78F1"/>
    <w:rsid w:val="004E106D"/>
    <w:rsid w:val="004E6320"/>
    <w:rsid w:val="004E66E2"/>
    <w:rsid w:val="004F750C"/>
    <w:rsid w:val="00504140"/>
    <w:rsid w:val="00512B35"/>
    <w:rsid w:val="005165AA"/>
    <w:rsid w:val="00516678"/>
    <w:rsid w:val="00521290"/>
    <w:rsid w:val="005252DA"/>
    <w:rsid w:val="005253C6"/>
    <w:rsid w:val="0053102D"/>
    <w:rsid w:val="00533703"/>
    <w:rsid w:val="00533EB8"/>
    <w:rsid w:val="005346F1"/>
    <w:rsid w:val="005349F8"/>
    <w:rsid w:val="00544284"/>
    <w:rsid w:val="005471B4"/>
    <w:rsid w:val="00551208"/>
    <w:rsid w:val="0055746F"/>
    <w:rsid w:val="0056403D"/>
    <w:rsid w:val="005700E8"/>
    <w:rsid w:val="0057137E"/>
    <w:rsid w:val="0057243F"/>
    <w:rsid w:val="00572555"/>
    <w:rsid w:val="00572A73"/>
    <w:rsid w:val="005747A1"/>
    <w:rsid w:val="00577455"/>
    <w:rsid w:val="00577FEC"/>
    <w:rsid w:val="005845A0"/>
    <w:rsid w:val="00587AA3"/>
    <w:rsid w:val="00587C96"/>
    <w:rsid w:val="00591DF0"/>
    <w:rsid w:val="005A06D7"/>
    <w:rsid w:val="005B6589"/>
    <w:rsid w:val="005B7A54"/>
    <w:rsid w:val="005B7C0E"/>
    <w:rsid w:val="005B7E5E"/>
    <w:rsid w:val="005C13A7"/>
    <w:rsid w:val="005C361D"/>
    <w:rsid w:val="005C7E8A"/>
    <w:rsid w:val="005D0E63"/>
    <w:rsid w:val="005D27FC"/>
    <w:rsid w:val="005D441F"/>
    <w:rsid w:val="005D7F7B"/>
    <w:rsid w:val="005E0761"/>
    <w:rsid w:val="005F6075"/>
    <w:rsid w:val="005F6B7B"/>
    <w:rsid w:val="006032A5"/>
    <w:rsid w:val="00605138"/>
    <w:rsid w:val="00611E0F"/>
    <w:rsid w:val="00613435"/>
    <w:rsid w:val="00614465"/>
    <w:rsid w:val="00617633"/>
    <w:rsid w:val="00617905"/>
    <w:rsid w:val="00621CED"/>
    <w:rsid w:val="0062358F"/>
    <w:rsid w:val="006243E6"/>
    <w:rsid w:val="00625425"/>
    <w:rsid w:val="00625EAD"/>
    <w:rsid w:val="0062766A"/>
    <w:rsid w:val="00627DE9"/>
    <w:rsid w:val="00634F34"/>
    <w:rsid w:val="0063729A"/>
    <w:rsid w:val="00637C4C"/>
    <w:rsid w:val="006576EF"/>
    <w:rsid w:val="00663688"/>
    <w:rsid w:val="006659DC"/>
    <w:rsid w:val="00666DEB"/>
    <w:rsid w:val="00666E8A"/>
    <w:rsid w:val="00667373"/>
    <w:rsid w:val="006716D7"/>
    <w:rsid w:val="00680984"/>
    <w:rsid w:val="0068641E"/>
    <w:rsid w:val="00690D18"/>
    <w:rsid w:val="006913E6"/>
    <w:rsid w:val="00694FB6"/>
    <w:rsid w:val="006A202A"/>
    <w:rsid w:val="006A403E"/>
    <w:rsid w:val="006B4A1F"/>
    <w:rsid w:val="006B4B32"/>
    <w:rsid w:val="006B7D40"/>
    <w:rsid w:val="006C0684"/>
    <w:rsid w:val="006C13F1"/>
    <w:rsid w:val="006C6029"/>
    <w:rsid w:val="006D154B"/>
    <w:rsid w:val="006F527A"/>
    <w:rsid w:val="006F5BCB"/>
    <w:rsid w:val="0070221E"/>
    <w:rsid w:val="00704D55"/>
    <w:rsid w:val="00705332"/>
    <w:rsid w:val="00705F3B"/>
    <w:rsid w:val="00706249"/>
    <w:rsid w:val="007064A3"/>
    <w:rsid w:val="00706A8F"/>
    <w:rsid w:val="00707800"/>
    <w:rsid w:val="007132C3"/>
    <w:rsid w:val="00714302"/>
    <w:rsid w:val="007146C0"/>
    <w:rsid w:val="00715A7E"/>
    <w:rsid w:val="0072180E"/>
    <w:rsid w:val="00722F1F"/>
    <w:rsid w:val="00725DB4"/>
    <w:rsid w:val="00727391"/>
    <w:rsid w:val="00740518"/>
    <w:rsid w:val="00742BAE"/>
    <w:rsid w:val="0075474E"/>
    <w:rsid w:val="00761CC8"/>
    <w:rsid w:val="00763D0B"/>
    <w:rsid w:val="00766F86"/>
    <w:rsid w:val="00771F0A"/>
    <w:rsid w:val="0078346A"/>
    <w:rsid w:val="00783858"/>
    <w:rsid w:val="007863FB"/>
    <w:rsid w:val="007875EC"/>
    <w:rsid w:val="00793766"/>
    <w:rsid w:val="007A386B"/>
    <w:rsid w:val="007B4E80"/>
    <w:rsid w:val="007B5CF3"/>
    <w:rsid w:val="007C4F9E"/>
    <w:rsid w:val="007D007F"/>
    <w:rsid w:val="007E14AB"/>
    <w:rsid w:val="007E24CE"/>
    <w:rsid w:val="007F5DCC"/>
    <w:rsid w:val="007F6387"/>
    <w:rsid w:val="007F7958"/>
    <w:rsid w:val="00801499"/>
    <w:rsid w:val="008050A2"/>
    <w:rsid w:val="00806234"/>
    <w:rsid w:val="008106BE"/>
    <w:rsid w:val="00811ADD"/>
    <w:rsid w:val="00811BB0"/>
    <w:rsid w:val="00811ED1"/>
    <w:rsid w:val="00812197"/>
    <w:rsid w:val="008149D2"/>
    <w:rsid w:val="008171AC"/>
    <w:rsid w:val="008239EC"/>
    <w:rsid w:val="00824E1D"/>
    <w:rsid w:val="00824E5D"/>
    <w:rsid w:val="0082637C"/>
    <w:rsid w:val="008264B5"/>
    <w:rsid w:val="00827EE6"/>
    <w:rsid w:val="00831C18"/>
    <w:rsid w:val="00832F6A"/>
    <w:rsid w:val="00834E65"/>
    <w:rsid w:val="00844B9B"/>
    <w:rsid w:val="0084751D"/>
    <w:rsid w:val="00857B52"/>
    <w:rsid w:val="0086006E"/>
    <w:rsid w:val="00863D5A"/>
    <w:rsid w:val="008657CE"/>
    <w:rsid w:val="0086611B"/>
    <w:rsid w:val="008661AF"/>
    <w:rsid w:val="008714BF"/>
    <w:rsid w:val="00875667"/>
    <w:rsid w:val="00880368"/>
    <w:rsid w:val="00881AA3"/>
    <w:rsid w:val="00881AF8"/>
    <w:rsid w:val="00882F8D"/>
    <w:rsid w:val="00884410"/>
    <w:rsid w:val="00887D24"/>
    <w:rsid w:val="00897B2A"/>
    <w:rsid w:val="008A3467"/>
    <w:rsid w:val="008A737C"/>
    <w:rsid w:val="008B2887"/>
    <w:rsid w:val="008C083C"/>
    <w:rsid w:val="008C0BFE"/>
    <w:rsid w:val="008C52C2"/>
    <w:rsid w:val="008D0668"/>
    <w:rsid w:val="008D2EA3"/>
    <w:rsid w:val="008E1082"/>
    <w:rsid w:val="008F1069"/>
    <w:rsid w:val="008F17DF"/>
    <w:rsid w:val="008F18DA"/>
    <w:rsid w:val="008F19B8"/>
    <w:rsid w:val="008F3C81"/>
    <w:rsid w:val="008F7448"/>
    <w:rsid w:val="00911FF3"/>
    <w:rsid w:val="009136C0"/>
    <w:rsid w:val="00925D96"/>
    <w:rsid w:val="00932953"/>
    <w:rsid w:val="00932F70"/>
    <w:rsid w:val="009355C8"/>
    <w:rsid w:val="00940713"/>
    <w:rsid w:val="0094184B"/>
    <w:rsid w:val="00941E19"/>
    <w:rsid w:val="009510A3"/>
    <w:rsid w:val="00963D40"/>
    <w:rsid w:val="00970C75"/>
    <w:rsid w:val="00975BDC"/>
    <w:rsid w:val="0098277E"/>
    <w:rsid w:val="00983266"/>
    <w:rsid w:val="009875CD"/>
    <w:rsid w:val="00991FCE"/>
    <w:rsid w:val="009A2714"/>
    <w:rsid w:val="009A37AB"/>
    <w:rsid w:val="009B4065"/>
    <w:rsid w:val="009B7D0A"/>
    <w:rsid w:val="009B7F5A"/>
    <w:rsid w:val="009C3E7C"/>
    <w:rsid w:val="009C7128"/>
    <w:rsid w:val="009D1514"/>
    <w:rsid w:val="009D2DFA"/>
    <w:rsid w:val="009E3792"/>
    <w:rsid w:val="009F2E87"/>
    <w:rsid w:val="009F77BF"/>
    <w:rsid w:val="00A00531"/>
    <w:rsid w:val="00A0055A"/>
    <w:rsid w:val="00A0081E"/>
    <w:rsid w:val="00A02A96"/>
    <w:rsid w:val="00A15E89"/>
    <w:rsid w:val="00A2589D"/>
    <w:rsid w:val="00A3075E"/>
    <w:rsid w:val="00A344CD"/>
    <w:rsid w:val="00A3541F"/>
    <w:rsid w:val="00A376E0"/>
    <w:rsid w:val="00A379D7"/>
    <w:rsid w:val="00A37D04"/>
    <w:rsid w:val="00A403CC"/>
    <w:rsid w:val="00A5793D"/>
    <w:rsid w:val="00A61BF2"/>
    <w:rsid w:val="00A70DF9"/>
    <w:rsid w:val="00A756C2"/>
    <w:rsid w:val="00A75A6D"/>
    <w:rsid w:val="00A75A9D"/>
    <w:rsid w:val="00A826F3"/>
    <w:rsid w:val="00A8390B"/>
    <w:rsid w:val="00A83C8C"/>
    <w:rsid w:val="00A90CBB"/>
    <w:rsid w:val="00A927AD"/>
    <w:rsid w:val="00A94937"/>
    <w:rsid w:val="00A95C11"/>
    <w:rsid w:val="00AA57B5"/>
    <w:rsid w:val="00AB4BD3"/>
    <w:rsid w:val="00AC20FE"/>
    <w:rsid w:val="00AC79E6"/>
    <w:rsid w:val="00AD4F5C"/>
    <w:rsid w:val="00AE0D2E"/>
    <w:rsid w:val="00AE2804"/>
    <w:rsid w:val="00AE41C2"/>
    <w:rsid w:val="00AE4506"/>
    <w:rsid w:val="00AE48C0"/>
    <w:rsid w:val="00AE6022"/>
    <w:rsid w:val="00AF7348"/>
    <w:rsid w:val="00AF7EE9"/>
    <w:rsid w:val="00B142FF"/>
    <w:rsid w:val="00B17E1A"/>
    <w:rsid w:val="00B21C1D"/>
    <w:rsid w:val="00B24767"/>
    <w:rsid w:val="00B300AA"/>
    <w:rsid w:val="00B319AF"/>
    <w:rsid w:val="00B46DA4"/>
    <w:rsid w:val="00B539F5"/>
    <w:rsid w:val="00B53AA9"/>
    <w:rsid w:val="00B53F06"/>
    <w:rsid w:val="00B54B73"/>
    <w:rsid w:val="00B57C1B"/>
    <w:rsid w:val="00B57ED1"/>
    <w:rsid w:val="00B6029F"/>
    <w:rsid w:val="00B60BD4"/>
    <w:rsid w:val="00B645C9"/>
    <w:rsid w:val="00B80A32"/>
    <w:rsid w:val="00B81076"/>
    <w:rsid w:val="00B82EB3"/>
    <w:rsid w:val="00B84E8B"/>
    <w:rsid w:val="00B91312"/>
    <w:rsid w:val="00BA30C3"/>
    <w:rsid w:val="00BA4386"/>
    <w:rsid w:val="00BB0452"/>
    <w:rsid w:val="00BB3FE7"/>
    <w:rsid w:val="00BB40CA"/>
    <w:rsid w:val="00BC3313"/>
    <w:rsid w:val="00BC5FEA"/>
    <w:rsid w:val="00BD6C23"/>
    <w:rsid w:val="00BE74FF"/>
    <w:rsid w:val="00BF1D97"/>
    <w:rsid w:val="00BF1D9D"/>
    <w:rsid w:val="00BF6CC6"/>
    <w:rsid w:val="00C012BA"/>
    <w:rsid w:val="00C0361B"/>
    <w:rsid w:val="00C11EF3"/>
    <w:rsid w:val="00C12060"/>
    <w:rsid w:val="00C2289A"/>
    <w:rsid w:val="00C269CE"/>
    <w:rsid w:val="00C325A5"/>
    <w:rsid w:val="00C34F36"/>
    <w:rsid w:val="00C369A3"/>
    <w:rsid w:val="00C44BB2"/>
    <w:rsid w:val="00C45945"/>
    <w:rsid w:val="00C50FFF"/>
    <w:rsid w:val="00C51514"/>
    <w:rsid w:val="00C6160A"/>
    <w:rsid w:val="00C61FCB"/>
    <w:rsid w:val="00C668A6"/>
    <w:rsid w:val="00C70284"/>
    <w:rsid w:val="00C72235"/>
    <w:rsid w:val="00C80643"/>
    <w:rsid w:val="00C81E06"/>
    <w:rsid w:val="00C83AEA"/>
    <w:rsid w:val="00C9010A"/>
    <w:rsid w:val="00CA04E8"/>
    <w:rsid w:val="00CA2B54"/>
    <w:rsid w:val="00CA7E34"/>
    <w:rsid w:val="00CA7EAF"/>
    <w:rsid w:val="00CB497C"/>
    <w:rsid w:val="00CB4E6A"/>
    <w:rsid w:val="00CC01FD"/>
    <w:rsid w:val="00CC0A46"/>
    <w:rsid w:val="00CC3648"/>
    <w:rsid w:val="00CC3E08"/>
    <w:rsid w:val="00CC66D3"/>
    <w:rsid w:val="00CD0618"/>
    <w:rsid w:val="00CD3711"/>
    <w:rsid w:val="00CD45B0"/>
    <w:rsid w:val="00CD57C6"/>
    <w:rsid w:val="00CD5EC5"/>
    <w:rsid w:val="00CE1F97"/>
    <w:rsid w:val="00CE4BEB"/>
    <w:rsid w:val="00CE603E"/>
    <w:rsid w:val="00CE7541"/>
    <w:rsid w:val="00CF0455"/>
    <w:rsid w:val="00CF045D"/>
    <w:rsid w:val="00CF2C43"/>
    <w:rsid w:val="00CF6EE4"/>
    <w:rsid w:val="00D07031"/>
    <w:rsid w:val="00D11D67"/>
    <w:rsid w:val="00D15CBD"/>
    <w:rsid w:val="00D1781F"/>
    <w:rsid w:val="00D318CA"/>
    <w:rsid w:val="00D40F52"/>
    <w:rsid w:val="00D413D0"/>
    <w:rsid w:val="00D42B4C"/>
    <w:rsid w:val="00D43F97"/>
    <w:rsid w:val="00D50835"/>
    <w:rsid w:val="00D61399"/>
    <w:rsid w:val="00D620F6"/>
    <w:rsid w:val="00D64537"/>
    <w:rsid w:val="00D6475E"/>
    <w:rsid w:val="00D64CC8"/>
    <w:rsid w:val="00D64FD9"/>
    <w:rsid w:val="00D67A76"/>
    <w:rsid w:val="00D71527"/>
    <w:rsid w:val="00D7323A"/>
    <w:rsid w:val="00D84A79"/>
    <w:rsid w:val="00D939D7"/>
    <w:rsid w:val="00D93FCD"/>
    <w:rsid w:val="00DA1251"/>
    <w:rsid w:val="00DA196E"/>
    <w:rsid w:val="00DB158D"/>
    <w:rsid w:val="00DB1A3B"/>
    <w:rsid w:val="00DB71B8"/>
    <w:rsid w:val="00DC5DCF"/>
    <w:rsid w:val="00DD00B0"/>
    <w:rsid w:val="00DE0C78"/>
    <w:rsid w:val="00DE1E4A"/>
    <w:rsid w:val="00DE4770"/>
    <w:rsid w:val="00DE7F90"/>
    <w:rsid w:val="00DF633E"/>
    <w:rsid w:val="00DF7DFA"/>
    <w:rsid w:val="00E035F3"/>
    <w:rsid w:val="00E05A16"/>
    <w:rsid w:val="00E07750"/>
    <w:rsid w:val="00E17A76"/>
    <w:rsid w:val="00E3554F"/>
    <w:rsid w:val="00E53A6A"/>
    <w:rsid w:val="00E55678"/>
    <w:rsid w:val="00E60AFB"/>
    <w:rsid w:val="00E61CC2"/>
    <w:rsid w:val="00E6293E"/>
    <w:rsid w:val="00E634C1"/>
    <w:rsid w:val="00E66311"/>
    <w:rsid w:val="00E74D8F"/>
    <w:rsid w:val="00E803A5"/>
    <w:rsid w:val="00E8149E"/>
    <w:rsid w:val="00E8355A"/>
    <w:rsid w:val="00EA180A"/>
    <w:rsid w:val="00EA1B13"/>
    <w:rsid w:val="00EA2D92"/>
    <w:rsid w:val="00EB0C0D"/>
    <w:rsid w:val="00EB70BE"/>
    <w:rsid w:val="00EC57AB"/>
    <w:rsid w:val="00EC638E"/>
    <w:rsid w:val="00EC6738"/>
    <w:rsid w:val="00ED2243"/>
    <w:rsid w:val="00EE625A"/>
    <w:rsid w:val="00EF2611"/>
    <w:rsid w:val="00EF6A70"/>
    <w:rsid w:val="00F00DDC"/>
    <w:rsid w:val="00F03395"/>
    <w:rsid w:val="00F034A5"/>
    <w:rsid w:val="00F039D1"/>
    <w:rsid w:val="00F07AB8"/>
    <w:rsid w:val="00F14FC8"/>
    <w:rsid w:val="00F15A60"/>
    <w:rsid w:val="00F17AC2"/>
    <w:rsid w:val="00F23ACC"/>
    <w:rsid w:val="00F23E67"/>
    <w:rsid w:val="00F32111"/>
    <w:rsid w:val="00F3228E"/>
    <w:rsid w:val="00F33E44"/>
    <w:rsid w:val="00F42292"/>
    <w:rsid w:val="00F467DE"/>
    <w:rsid w:val="00F51C96"/>
    <w:rsid w:val="00F51E10"/>
    <w:rsid w:val="00F5789D"/>
    <w:rsid w:val="00F57FF4"/>
    <w:rsid w:val="00F64892"/>
    <w:rsid w:val="00F71157"/>
    <w:rsid w:val="00F7328F"/>
    <w:rsid w:val="00F73878"/>
    <w:rsid w:val="00F81D60"/>
    <w:rsid w:val="00F86EFC"/>
    <w:rsid w:val="00F91266"/>
    <w:rsid w:val="00F96456"/>
    <w:rsid w:val="00F97207"/>
    <w:rsid w:val="00FA085B"/>
    <w:rsid w:val="00FA25E2"/>
    <w:rsid w:val="00FA6387"/>
    <w:rsid w:val="00FA6422"/>
    <w:rsid w:val="00FC3A2D"/>
    <w:rsid w:val="00FE5BB7"/>
    <w:rsid w:val="00FF21CF"/>
    <w:rsid w:val="00FF37DE"/>
    <w:rsid w:val="00FF5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7A69B9D"/>
  <w15:docId w15:val="{F55A2FA9-909A-47FA-B26C-639D3AA14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8C8"/>
    <w:pPr>
      <w:autoSpaceDE w:val="0"/>
      <w:autoSpaceDN w:val="0"/>
    </w:pPr>
  </w:style>
  <w:style w:type="paragraph" w:styleId="Heading1">
    <w:name w:val="heading 1"/>
    <w:basedOn w:val="Normal"/>
    <w:next w:val="Normal"/>
    <w:qFormat/>
    <w:rsid w:val="002408C8"/>
    <w:pPr>
      <w:keepNext/>
      <w:spacing w:before="240" w:after="80"/>
      <w:jc w:val="center"/>
      <w:outlineLvl w:val="0"/>
    </w:pPr>
    <w:rPr>
      <w:smallCaps/>
      <w:kern w:val="28"/>
    </w:rPr>
  </w:style>
  <w:style w:type="paragraph" w:styleId="Heading2">
    <w:name w:val="heading 2"/>
    <w:basedOn w:val="Normal"/>
    <w:next w:val="Normal"/>
    <w:qFormat/>
    <w:rsid w:val="002408C8"/>
    <w:pPr>
      <w:keepNext/>
      <w:spacing w:before="120" w:after="60"/>
      <w:outlineLvl w:val="1"/>
    </w:pPr>
    <w:rPr>
      <w:i/>
      <w:iCs/>
    </w:rPr>
  </w:style>
  <w:style w:type="paragraph" w:styleId="Heading3">
    <w:name w:val="heading 3"/>
    <w:basedOn w:val="Normal"/>
    <w:next w:val="Normal"/>
    <w:qFormat/>
    <w:rsid w:val="002408C8"/>
    <w:pPr>
      <w:keepNext/>
      <w:outlineLvl w:val="2"/>
    </w:pPr>
    <w:rPr>
      <w:i/>
      <w:iCs/>
    </w:rPr>
  </w:style>
  <w:style w:type="paragraph" w:styleId="Heading4">
    <w:name w:val="heading 4"/>
    <w:basedOn w:val="Normal"/>
    <w:next w:val="Normal"/>
    <w:qFormat/>
    <w:rsid w:val="002408C8"/>
    <w:pPr>
      <w:keepNext/>
      <w:numPr>
        <w:ilvl w:val="3"/>
        <w:numId w:val="1"/>
      </w:numPr>
      <w:spacing w:before="240" w:after="60"/>
      <w:outlineLvl w:val="3"/>
    </w:pPr>
    <w:rPr>
      <w:i/>
      <w:iCs/>
      <w:sz w:val="18"/>
      <w:szCs w:val="18"/>
    </w:rPr>
  </w:style>
  <w:style w:type="paragraph" w:styleId="Heading5">
    <w:name w:val="heading 5"/>
    <w:basedOn w:val="Normal"/>
    <w:next w:val="Normal"/>
    <w:qFormat/>
    <w:rsid w:val="002408C8"/>
    <w:pPr>
      <w:numPr>
        <w:ilvl w:val="4"/>
        <w:numId w:val="1"/>
      </w:numPr>
      <w:spacing w:before="240" w:after="60"/>
      <w:outlineLvl w:val="4"/>
    </w:pPr>
    <w:rPr>
      <w:sz w:val="18"/>
      <w:szCs w:val="18"/>
    </w:rPr>
  </w:style>
  <w:style w:type="paragraph" w:styleId="Heading6">
    <w:name w:val="heading 6"/>
    <w:basedOn w:val="Normal"/>
    <w:next w:val="Normal"/>
    <w:qFormat/>
    <w:rsid w:val="002408C8"/>
    <w:pPr>
      <w:numPr>
        <w:ilvl w:val="5"/>
        <w:numId w:val="1"/>
      </w:numPr>
      <w:spacing w:before="240" w:after="60"/>
      <w:outlineLvl w:val="5"/>
    </w:pPr>
    <w:rPr>
      <w:i/>
      <w:iCs/>
      <w:sz w:val="16"/>
      <w:szCs w:val="16"/>
    </w:rPr>
  </w:style>
  <w:style w:type="paragraph" w:styleId="Heading7">
    <w:name w:val="heading 7"/>
    <w:basedOn w:val="Normal"/>
    <w:next w:val="Normal"/>
    <w:qFormat/>
    <w:rsid w:val="002408C8"/>
    <w:pPr>
      <w:numPr>
        <w:ilvl w:val="6"/>
        <w:numId w:val="1"/>
      </w:numPr>
      <w:spacing w:before="240" w:after="60"/>
      <w:outlineLvl w:val="6"/>
    </w:pPr>
    <w:rPr>
      <w:sz w:val="16"/>
      <w:szCs w:val="16"/>
    </w:rPr>
  </w:style>
  <w:style w:type="paragraph" w:styleId="Heading8">
    <w:name w:val="heading 8"/>
    <w:basedOn w:val="Normal"/>
    <w:next w:val="Normal"/>
    <w:qFormat/>
    <w:rsid w:val="002408C8"/>
    <w:pPr>
      <w:numPr>
        <w:ilvl w:val="7"/>
        <w:numId w:val="1"/>
      </w:numPr>
      <w:spacing w:before="240" w:after="60"/>
      <w:outlineLvl w:val="7"/>
    </w:pPr>
    <w:rPr>
      <w:i/>
      <w:iCs/>
      <w:sz w:val="16"/>
      <w:szCs w:val="16"/>
    </w:rPr>
  </w:style>
  <w:style w:type="paragraph" w:styleId="Heading9">
    <w:name w:val="heading 9"/>
    <w:basedOn w:val="Normal"/>
    <w:next w:val="Normal"/>
    <w:qFormat/>
    <w:rsid w:val="002408C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2408C8"/>
    <w:pPr>
      <w:spacing w:before="20"/>
      <w:ind w:firstLine="202"/>
      <w:jc w:val="both"/>
    </w:pPr>
    <w:rPr>
      <w:b/>
      <w:bCs/>
      <w:sz w:val="18"/>
      <w:szCs w:val="18"/>
    </w:rPr>
  </w:style>
  <w:style w:type="paragraph" w:customStyle="1" w:styleId="Authors">
    <w:name w:val="Authors"/>
    <w:basedOn w:val="Normal"/>
    <w:next w:val="Normal"/>
    <w:rsid w:val="002408C8"/>
    <w:pPr>
      <w:framePr w:w="9072" w:hSpace="187" w:vSpace="187" w:wrap="notBeside" w:vAnchor="text" w:hAnchor="page" w:xAlign="center" w:y="1"/>
      <w:spacing w:after="320"/>
      <w:jc w:val="center"/>
    </w:pPr>
    <w:rPr>
      <w:sz w:val="22"/>
      <w:szCs w:val="22"/>
    </w:rPr>
  </w:style>
  <w:style w:type="character" w:customStyle="1" w:styleId="MemberType">
    <w:name w:val="MemberType"/>
    <w:rsid w:val="002408C8"/>
    <w:rPr>
      <w:rFonts w:ascii="Times New Roman" w:hAnsi="Times New Roman" w:cs="Times New Roman"/>
      <w:i/>
      <w:iCs/>
      <w:sz w:val="22"/>
      <w:szCs w:val="22"/>
    </w:rPr>
  </w:style>
  <w:style w:type="paragraph" w:styleId="Title">
    <w:name w:val="Title"/>
    <w:basedOn w:val="Normal"/>
    <w:next w:val="Normal"/>
    <w:qFormat/>
    <w:rsid w:val="002408C8"/>
    <w:pPr>
      <w:framePr w:w="9360" w:hSpace="187" w:vSpace="187" w:wrap="notBeside" w:vAnchor="text" w:hAnchor="page" w:xAlign="center" w:y="1"/>
      <w:jc w:val="center"/>
    </w:pPr>
    <w:rPr>
      <w:kern w:val="28"/>
      <w:sz w:val="48"/>
      <w:szCs w:val="48"/>
    </w:rPr>
  </w:style>
  <w:style w:type="paragraph" w:styleId="FootnoteText">
    <w:name w:val="footnote text"/>
    <w:basedOn w:val="Normal"/>
    <w:semiHidden/>
    <w:rsid w:val="002408C8"/>
    <w:pPr>
      <w:ind w:firstLine="202"/>
      <w:jc w:val="both"/>
    </w:pPr>
    <w:rPr>
      <w:sz w:val="16"/>
      <w:szCs w:val="16"/>
    </w:rPr>
  </w:style>
  <w:style w:type="paragraph" w:customStyle="1" w:styleId="References">
    <w:name w:val="References"/>
    <w:basedOn w:val="Normal"/>
    <w:rsid w:val="002408C8"/>
    <w:pPr>
      <w:numPr>
        <w:numId w:val="2"/>
      </w:numPr>
      <w:jc w:val="both"/>
    </w:pPr>
    <w:rPr>
      <w:sz w:val="16"/>
      <w:szCs w:val="16"/>
    </w:rPr>
  </w:style>
  <w:style w:type="paragraph" w:customStyle="1" w:styleId="IndexTerms">
    <w:name w:val="IndexTerms"/>
    <w:basedOn w:val="Normal"/>
    <w:next w:val="Normal"/>
    <w:rsid w:val="002408C8"/>
    <w:pPr>
      <w:ind w:firstLine="202"/>
      <w:jc w:val="both"/>
    </w:pPr>
    <w:rPr>
      <w:b/>
      <w:bCs/>
      <w:sz w:val="18"/>
      <w:szCs w:val="18"/>
    </w:rPr>
  </w:style>
  <w:style w:type="character" w:styleId="FootnoteReference">
    <w:name w:val="footnote reference"/>
    <w:semiHidden/>
    <w:rsid w:val="002408C8"/>
    <w:rPr>
      <w:rFonts w:cs="Times New Roman"/>
      <w:vertAlign w:val="superscript"/>
    </w:rPr>
  </w:style>
  <w:style w:type="paragraph" w:styleId="Footer">
    <w:name w:val="footer"/>
    <w:basedOn w:val="Normal"/>
    <w:link w:val="FooterChar"/>
    <w:uiPriority w:val="99"/>
    <w:rsid w:val="002408C8"/>
    <w:pPr>
      <w:tabs>
        <w:tab w:val="center" w:pos="4320"/>
        <w:tab w:val="right" w:pos="8640"/>
      </w:tabs>
    </w:pPr>
  </w:style>
  <w:style w:type="paragraph" w:customStyle="1" w:styleId="Text">
    <w:name w:val="Text"/>
    <w:basedOn w:val="Normal"/>
    <w:rsid w:val="002408C8"/>
    <w:pPr>
      <w:widowControl w:val="0"/>
      <w:spacing w:line="252" w:lineRule="auto"/>
      <w:ind w:firstLine="202"/>
      <w:jc w:val="both"/>
    </w:pPr>
  </w:style>
  <w:style w:type="paragraph" w:customStyle="1" w:styleId="FigureCaption">
    <w:name w:val="Figure Caption"/>
    <w:basedOn w:val="Normal"/>
    <w:rsid w:val="002408C8"/>
    <w:pPr>
      <w:jc w:val="both"/>
    </w:pPr>
    <w:rPr>
      <w:sz w:val="16"/>
      <w:szCs w:val="16"/>
    </w:rPr>
  </w:style>
  <w:style w:type="paragraph" w:customStyle="1" w:styleId="TableTitle">
    <w:name w:val="Table Title"/>
    <w:basedOn w:val="Normal"/>
    <w:rsid w:val="002408C8"/>
    <w:pPr>
      <w:jc w:val="center"/>
    </w:pPr>
    <w:rPr>
      <w:smallCaps/>
      <w:sz w:val="16"/>
      <w:szCs w:val="16"/>
    </w:rPr>
  </w:style>
  <w:style w:type="paragraph" w:customStyle="1" w:styleId="ReferenceHead">
    <w:name w:val="Reference Head"/>
    <w:basedOn w:val="Heading1"/>
    <w:rsid w:val="002408C8"/>
    <w:pPr>
      <w:numPr>
        <w:numId w:val="0"/>
      </w:numPr>
    </w:pPr>
  </w:style>
  <w:style w:type="paragraph" w:styleId="Header">
    <w:name w:val="header"/>
    <w:basedOn w:val="Normal"/>
    <w:link w:val="HeaderChar"/>
    <w:uiPriority w:val="99"/>
    <w:rsid w:val="002408C8"/>
    <w:pPr>
      <w:tabs>
        <w:tab w:val="center" w:pos="4320"/>
        <w:tab w:val="right" w:pos="8640"/>
      </w:tabs>
    </w:pPr>
  </w:style>
  <w:style w:type="paragraph" w:customStyle="1" w:styleId="Equation">
    <w:name w:val="Equation"/>
    <w:basedOn w:val="Normal"/>
    <w:next w:val="Normal"/>
    <w:rsid w:val="002408C8"/>
    <w:pPr>
      <w:widowControl w:val="0"/>
      <w:tabs>
        <w:tab w:val="right" w:pos="5040"/>
      </w:tabs>
      <w:spacing w:line="252" w:lineRule="auto"/>
      <w:jc w:val="both"/>
    </w:pPr>
  </w:style>
  <w:style w:type="character" w:styleId="Hyperlink">
    <w:name w:val="Hyperlink"/>
    <w:rsid w:val="002408C8"/>
    <w:rPr>
      <w:rFonts w:cs="Times New Roman"/>
      <w:color w:val="0000FF"/>
      <w:u w:val="single"/>
    </w:rPr>
  </w:style>
  <w:style w:type="character" w:styleId="FollowedHyperlink">
    <w:name w:val="FollowedHyperlink"/>
    <w:rsid w:val="002408C8"/>
    <w:rPr>
      <w:rFonts w:cs="Times New Roman"/>
      <w:color w:val="800080"/>
      <w:u w:val="single"/>
    </w:rPr>
  </w:style>
  <w:style w:type="paragraph" w:styleId="BodyTextIndent">
    <w:name w:val="Body Text Indent"/>
    <w:basedOn w:val="Normal"/>
    <w:rsid w:val="002408C8"/>
    <w:pPr>
      <w:ind w:left="630" w:hanging="630"/>
    </w:pPr>
    <w:rPr>
      <w:szCs w:val="24"/>
    </w:rPr>
  </w:style>
  <w:style w:type="paragraph" w:styleId="BodyText">
    <w:name w:val="Body Text"/>
    <w:basedOn w:val="Normal"/>
    <w:rsid w:val="00CC3648"/>
    <w:pPr>
      <w:spacing w:after="120"/>
    </w:pPr>
  </w:style>
  <w:style w:type="paragraph" w:styleId="EndnoteText">
    <w:name w:val="endnote text"/>
    <w:basedOn w:val="Normal"/>
    <w:semiHidden/>
    <w:rsid w:val="008F1069"/>
  </w:style>
  <w:style w:type="character" w:styleId="EndnoteReference">
    <w:name w:val="endnote reference"/>
    <w:semiHidden/>
    <w:rsid w:val="008F1069"/>
    <w:rPr>
      <w:rFonts w:cs="Times New Roman"/>
      <w:vertAlign w:val="superscript"/>
    </w:rPr>
  </w:style>
  <w:style w:type="table" w:styleId="TableGrid">
    <w:name w:val="Table Grid"/>
    <w:basedOn w:val="TableNormal"/>
    <w:rsid w:val="000F4492"/>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F07AB8"/>
    <w:pPr>
      <w:spacing w:after="120" w:line="480" w:lineRule="auto"/>
    </w:pPr>
  </w:style>
  <w:style w:type="paragraph" w:customStyle="1" w:styleId="Reference">
    <w:name w:val="Reference"/>
    <w:basedOn w:val="Normal"/>
    <w:rsid w:val="00A379D7"/>
    <w:pPr>
      <w:autoSpaceDE/>
      <w:autoSpaceDN/>
      <w:spacing w:line="360" w:lineRule="auto"/>
      <w:ind w:left="360" w:hanging="360"/>
    </w:pPr>
    <w:rPr>
      <w:sz w:val="24"/>
      <w:lang w:val="en-AU"/>
    </w:rPr>
  </w:style>
  <w:style w:type="paragraph" w:styleId="BodyText3">
    <w:name w:val="Body Text 3"/>
    <w:basedOn w:val="Normal"/>
    <w:rsid w:val="009136C0"/>
    <w:pPr>
      <w:spacing w:after="120"/>
    </w:pPr>
    <w:rPr>
      <w:sz w:val="16"/>
      <w:szCs w:val="16"/>
    </w:rPr>
  </w:style>
  <w:style w:type="paragraph" w:customStyle="1" w:styleId="AutoBiography">
    <w:name w:val="AutoBiography"/>
    <w:basedOn w:val="Reference"/>
    <w:rsid w:val="00FA085B"/>
    <w:pPr>
      <w:spacing w:line="240" w:lineRule="auto"/>
      <w:ind w:left="0" w:firstLine="0"/>
      <w:jc w:val="both"/>
    </w:pPr>
    <w:rPr>
      <w:rFonts w:eastAsia="MS Mincho"/>
      <w:sz w:val="18"/>
      <w:szCs w:val="18"/>
      <w:lang w:val="en-US"/>
    </w:rPr>
  </w:style>
  <w:style w:type="paragraph" w:customStyle="1" w:styleId="TableCaption">
    <w:name w:val="TableCaption"/>
    <w:basedOn w:val="Normal"/>
    <w:rsid w:val="002154D3"/>
    <w:pPr>
      <w:keepLines/>
      <w:autoSpaceDE/>
      <w:autoSpaceDN/>
      <w:spacing w:beforeLines="100"/>
      <w:jc w:val="center"/>
    </w:pPr>
    <w:rPr>
      <w:rFonts w:eastAsia="MS Mincho"/>
      <w:color w:val="000000"/>
      <w:sz w:val="16"/>
      <w:szCs w:val="16"/>
    </w:rPr>
  </w:style>
  <w:style w:type="character" w:styleId="PageNumber">
    <w:name w:val="page number"/>
    <w:rsid w:val="002154D3"/>
    <w:rPr>
      <w:rFonts w:cs="Times New Roman"/>
    </w:rPr>
  </w:style>
  <w:style w:type="character" w:customStyle="1" w:styleId="FooterChar">
    <w:name w:val="Footer Char"/>
    <w:basedOn w:val="DefaultParagraphFont"/>
    <w:link w:val="Footer"/>
    <w:uiPriority w:val="99"/>
    <w:rsid w:val="00F23E67"/>
  </w:style>
  <w:style w:type="character" w:customStyle="1" w:styleId="HeaderChar">
    <w:name w:val="Header Char"/>
    <w:basedOn w:val="DefaultParagraphFont"/>
    <w:link w:val="Header"/>
    <w:uiPriority w:val="99"/>
    <w:rsid w:val="005346F1"/>
  </w:style>
  <w:style w:type="character" w:styleId="Strong">
    <w:name w:val="Strong"/>
    <w:uiPriority w:val="22"/>
    <w:qFormat/>
    <w:rsid w:val="00771F0A"/>
    <w:rPr>
      <w:b/>
      <w:bCs/>
    </w:rPr>
  </w:style>
  <w:style w:type="character" w:customStyle="1" w:styleId="apple-converted-space">
    <w:name w:val="apple-converted-space"/>
    <w:basedOn w:val="DefaultParagraphFont"/>
    <w:rsid w:val="00771F0A"/>
  </w:style>
  <w:style w:type="paragraph" w:styleId="BalloonText">
    <w:name w:val="Balloon Text"/>
    <w:basedOn w:val="Normal"/>
    <w:link w:val="BalloonTextChar"/>
    <w:rsid w:val="00DA196E"/>
    <w:rPr>
      <w:rFonts w:ascii="Tahoma" w:hAnsi="Tahoma" w:cs="Tahoma"/>
      <w:sz w:val="16"/>
      <w:szCs w:val="16"/>
    </w:rPr>
  </w:style>
  <w:style w:type="character" w:customStyle="1" w:styleId="BalloonTextChar">
    <w:name w:val="Balloon Text Char"/>
    <w:basedOn w:val="DefaultParagraphFont"/>
    <w:link w:val="BalloonText"/>
    <w:rsid w:val="00DA196E"/>
    <w:rPr>
      <w:rFonts w:ascii="Tahoma" w:hAnsi="Tahoma" w:cs="Tahoma"/>
      <w:sz w:val="16"/>
      <w:szCs w:val="16"/>
    </w:rPr>
  </w:style>
  <w:style w:type="character" w:styleId="UnresolvedMention">
    <w:name w:val="Unresolved Mention"/>
    <w:basedOn w:val="DefaultParagraphFont"/>
    <w:uiPriority w:val="99"/>
    <w:semiHidden/>
    <w:unhideWhenUsed/>
    <w:rsid w:val="00665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1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l1.vnunet.com/news/1116995" TargetMode="Externa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29115A-0DED-421D-AFE0-24844EAEC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IJSR Paper Format</vt:lpstr>
    </vt:vector>
  </TitlesOfParts>
  <Company/>
  <LinksUpToDate>false</LinksUpToDate>
  <CharactersWithSpaces>5853</CharactersWithSpaces>
  <SharedDoc>false</SharedDoc>
  <HLinks>
    <vt:vector size="18" baseType="variant">
      <vt:variant>
        <vt:i4>6684729</vt:i4>
      </vt:variant>
      <vt:variant>
        <vt:i4>3</vt:i4>
      </vt:variant>
      <vt:variant>
        <vt:i4>0</vt:i4>
      </vt:variant>
      <vt:variant>
        <vt:i4>5</vt:i4>
      </vt:variant>
      <vt:variant>
        <vt:lpwstr>http://nl1.vnunet.com/news/1116995</vt:lpwstr>
      </vt:variant>
      <vt:variant>
        <vt:lpwstr/>
      </vt:variant>
      <vt:variant>
        <vt:i4>6488166</vt:i4>
      </vt:variant>
      <vt:variant>
        <vt:i4>3</vt:i4>
      </vt:variant>
      <vt:variant>
        <vt:i4>0</vt:i4>
      </vt:variant>
      <vt:variant>
        <vt:i4>5</vt:i4>
      </vt:variant>
      <vt:variant>
        <vt:lpwstr>http://creativecommons.org/licenses/by/4.0/</vt:lpwstr>
      </vt:variant>
      <vt:variant>
        <vt:lpwstr/>
      </vt:variant>
      <vt:variant>
        <vt:i4>6619240</vt:i4>
      </vt:variant>
      <vt:variant>
        <vt:i4>0</vt:i4>
      </vt:variant>
      <vt:variant>
        <vt:i4>0</vt:i4>
      </vt:variant>
      <vt:variant>
        <vt:i4>5</vt:i4>
      </vt:variant>
      <vt:variant>
        <vt:lpwstr>D:\IJSR Website\www.ijsr.net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IJSR Paper Format</dc:title>
  <dc:creator>International Journal of Science and Research (IJSR)</dc:creator>
  <cp:keywords>International Journal of Science and Research (IJSR)</cp:keywords>
  <cp:lastModifiedBy>Rajesh Deshmukh</cp:lastModifiedBy>
  <cp:revision>68</cp:revision>
  <cp:lastPrinted>2005-10-28T10:18:00Z</cp:lastPrinted>
  <dcterms:created xsi:type="dcterms:W3CDTF">2020-04-23T07:34:00Z</dcterms:created>
  <dcterms:modified xsi:type="dcterms:W3CDTF">2025-12-11T10:17:00Z</dcterms:modified>
</cp:coreProperties>
</file>