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sz w:val="32"/>
        </w:rPr>
        <w:t>Explainable Deep Learning for Multi-Class Chest X-ray Classification: Measuring What Grad-CAM and SHAP Actually Establish</w:t>
      </w:r>
    </w:p>
    <w:p>
      <w:pPr>
        <w:jc w:val="center"/>
      </w:pPr>
      <w:r>
        <w:rPr>
          <w:b w:val="0"/>
          <w:i/>
          <w:sz w:val="22"/>
        </w:rPr>
        <w:t>An audit of a dual-explainability pipeline, and of the dataset confound neither method detects</w:t>
      </w:r>
    </w:p>
    <w:p>
      <w:pPr>
        <w:jc w:val="center"/>
      </w:pPr>
      <w:r>
        <w:rPr>
          <w:b w:val="0"/>
          <w:sz w:val="22"/>
        </w:rPr>
        <w:t>Ardhendu</w:t>
      </w:r>
    </w:p>
    <w:p>
      <w:pPr>
        <w:jc w:val="center"/>
      </w:pPr>
      <w:r>
        <w:rPr>
          <w:b w:val="0"/>
          <w:i/>
          <w:sz w:val="20"/>
        </w:rPr>
        <w:t>Department of Computer Science Engineering (AI &amp; ML), Jain University</w:t>
      </w:r>
    </w:p>
    <w:p>
      <w:pPr>
        <w:pStyle w:val="Heading1"/>
        <w:jc w:val="left"/>
      </w:pPr>
      <w:r>
        <w:t>Abstract</w:t>
      </w:r>
    </w:p>
    <w:p>
      <w:r>
        <w:rPr>
          <w:b w:val="0"/>
        </w:rPr>
        <w:t>Convolutional neural networks achieve high reported accuracy on chest radiograph classification, and explainable AI (XAI) methods are routinely added to such systems on the argument that a visible explanation lets a clinician verify the model is using genuine pathology rather than a spurious correlate. This paper builds that argument’s standard implementation — a transfer-learned CNN with Grad-CAM for spatial explanation and SHAP for feature-level attribution, served through a FastAPI endpoint — and then measures whether it does what it is claimed to do.</w:t>
      </w:r>
    </w:p>
    <w:p>
      <w:r>
        <w:rPr>
          <w:b w:val="0"/>
        </w:rPr>
        <w:t>We train ResNet18 and ResNet50 classifiers on the COVID-19 Radiography Database (21,165 images; four classes: normal, pneumonia, COVID-19, lung opacity) using a two-stage fine-tuning schedule and a patient-grouped 70/15/15 split, three seeds each. Macro F1 is 0.9571 ± 0.0016 for ResNet18 and 0.9548 ± 0.0034 for ResNet50 — a 2.1× increase in parameters that is indistinguishable from seed noise and doubles the run-to-run variance. SHAP values are computed in closed form over the network’s penultimate features, which is exact for a linear classification head and is verified against the reference implementation.</w:t>
      </w:r>
    </w:p>
    <w:p>
      <w:r>
        <w:rPr>
          <w:b w:val="0"/>
        </w:rPr>
        <w:t>Three measurements qualify these results. First, the dataset’s classes are completely separable by source archive before any lung is examined, and retraining on lung-masked images — 77% of each image removed — costs COVID-19 six times the F1 it costs the normal class, identifying acquisition signature rather than pathology as a substantial part of what was learned. Second, increasing backbone capacity by 2.1× produces no change distinguishable from seed noise across three runs per backbone, and doubles the run-to-run variance, which is what one expects when a shortcut has already been fully exploited. Third, and most importantly for the XAI claim, neither explanation detects any of this: Grad-CAM produces anatomically plausible maps regardless, and SHAP measures deviation from a training-set mean that carries the same confound.</w:t>
      </w:r>
    </w:p>
    <w:p>
      <w:r>
        <w:rPr>
          <w:b w:val="0"/>
        </w:rPr>
        <w:t>We further show that the standard deletion metric for explanation fidelity is unreliable on this data, and quantify why: 59.7% of its perturbation steps for ResNet18 and 72.6% for ResNet50 are rejected as out-of-distribution by the respective model’s own Mahalanobis detector, so the metric partly measures distribution shift rather than explanation quality. The two backbones test this directly — the model with the higher rejection rate is also the one whose deletion result is further in the wrong direction, while being the better localised of the two on insertion, so the two metrics rank the networks in opposite orders and the rejection rate says which ranking to believe. Insertion AUC, which lacks this defect, places Grad-CAM well above a random ordering on both networks (+0.34 and +0.60 over their respective controls). We conclude that visual and feature-level explanations are necessary but demonstrably insufficient for the verification role assigned to them; that explanation metrics must be reported against per-model controls, since neither raw AUCs nor raw attribution similarities are comparable across architectures; and that dataset provenance auditing must accompany rather than follow explainability work.</w:t>
      </w:r>
    </w:p>
    <w:p>
      <w:r>
        <w:rPr>
          <w:b/>
        </w:rPr>
        <w:t>Keywords:</w:t>
      </w:r>
      <w:r>
        <w:rPr>
          <w:b w:val="0"/>
        </w:rPr>
        <w:t xml:space="preserve"> Explainable AI, Chest X-ray Classification, Grad-CAM, SHAP, Shortcut Learning, Dataset Bias, Out-of-Distribution Detection, Explanation Fidelity</w:t>
      </w:r>
    </w:p>
    <w:p>
      <w:pPr>
        <w:pStyle w:val="Heading1"/>
        <w:jc w:val="left"/>
      </w:pPr>
      <w:r>
        <w:t>1. Introduction</w:t>
      </w:r>
    </w:p>
    <w:p>
      <w:r>
        <w:rPr>
          <w:b w:val="0"/>
        </w:rPr>
        <w:t>Chest radiography remains one of the most widely used diagnostic tools for detecting pulmonary conditions such as pneumonia, COVID-19 and other thoracic abnormalities, particularly where access to specialist radiologists is limited. Convolutional neural networks pretrained on large image corpora and fine-tuned by transfer learning have demonstrated classification accuracy rivalling human readers on several benchmark datasets.</w:t>
      </w:r>
    </w:p>
    <w:p>
      <w:r>
        <w:rPr>
          <w:b w:val="0"/>
        </w:rPr>
        <w:t>Despite this, clinical adoption has been slow, largely because these models function as black boxes: a clinician receives a label and a confidence score with no insight into which visual evidence drove the decision. This creates a specific risk — that a model relies on spurious artifacts such as text markers, positioning hardware or scanner-specific noise rather than genuine pathology. Explainable AI addresses this by producing human-interpretable justifications alongside predictions, on the argument that a clinician can then verify, trust or challenge a diagnosis.</w:t>
      </w:r>
    </w:p>
    <w:p>
      <w:r>
        <w:rPr>
          <w:b w:val="0"/>
        </w:rPr>
        <w:t>This paper takes that argument seriously enough to test it. We build the standard implementation and then measure, rather than assert, what its explanations establish. The specific contributions are as follows.</w:t>
      </w:r>
    </w:p>
    <w:p>
      <w:pPr>
        <w:pStyle w:val="ListBullet"/>
        <w:spacing w:after="60"/>
      </w:pPr>
      <w:r>
        <w:rPr>
          <w:b w:val="0"/>
        </w:rPr>
        <w:t>A four-class chest radiograph classifier (normal, pneumonia, COVID-19, lung opacity) trained by two-stage transfer learning, reported at two backbone capacities and three seeds each, so that the effect of model size can be separated from the effect of the data and from run-to-run noise.</w:t>
      </w:r>
    </w:p>
    <w:p>
      <w:pPr>
        <w:pStyle w:val="ListBullet"/>
        <w:spacing w:after="60"/>
      </w:pPr>
      <w:r>
        <w:rPr>
          <w:b w:val="0"/>
        </w:rPr>
        <w:t xml:space="preserve">A dual explainability pipeline combining Grad-CAM for spatial explanation with SHAP for feature-level attribution, in which the SHAP values are </w:t>
      </w:r>
      <w:r>
        <w:rPr>
          <w:b/>
        </w:rPr>
        <w:t>exact rather than approximated</w:t>
      </w:r>
      <w:r>
        <w:rPr>
          <w:b w:val="0"/>
        </w:rPr>
        <w:t>: because the classification head is a single linear layer over the penultimate representation, the Shapley values admit a closed form that we verify against the reference implementation.</w:t>
      </w:r>
    </w:p>
    <w:p>
      <w:pPr>
        <w:pStyle w:val="ListBullet"/>
        <w:spacing w:after="60"/>
      </w:pPr>
      <w:r>
        <w:rPr>
          <w:b/>
        </w:rPr>
        <w:t>A quantitative audit of both explanations</w:t>
      </w:r>
      <w:r>
        <w:rPr>
          <w:b w:val="0"/>
        </w:rPr>
        <w:t xml:space="preserve"> using deletion and insertion curves, lung-field localisation, and attribution stability, each reported against an explicit null control rather than in isolation.</w:t>
      </w:r>
    </w:p>
    <w:p>
      <w:pPr>
        <w:pStyle w:val="ListBullet"/>
        <w:spacing w:after="60"/>
      </w:pPr>
      <w:r>
        <w:rPr>
          <w:b/>
        </w:rPr>
        <w:t>The finding that the deletion metric is confounded by distribution shift on this data</w:t>
      </w:r>
      <w:r>
        <w:rPr>
          <w:b w:val="0"/>
        </w:rPr>
        <w:t>, together with a method for detecting that condition using the classifier’s own out-of-distribution detector.</w:t>
      </w:r>
    </w:p>
    <w:p>
      <w:pPr>
        <w:pStyle w:val="ListBullet"/>
        <w:spacing w:after="60"/>
      </w:pPr>
      <w:r>
        <w:rPr>
          <w:b/>
        </w:rPr>
        <w:t>A dataset provenance audit</w:t>
      </w:r>
      <w:r>
        <w:rPr>
          <w:b w:val="0"/>
        </w:rPr>
        <w:t xml:space="preserve"> showing that the classes are separable by source archive, quantified by a lung-masking ablation and a capacity ablation, and the demonstration that neither explanation method surfaces this.</w:t>
      </w:r>
    </w:p>
    <w:p>
      <w:pPr>
        <w:pStyle w:val="ListBullet"/>
        <w:spacing w:after="60"/>
      </w:pPr>
      <w:r>
        <w:rPr>
          <w:b w:val="0"/>
        </w:rPr>
        <w:t>An abstention mechanism based on Mahalanobis distance in feature space, with per-class calibration, and the measurement that its threshold does not transfer between datasets.</w:t>
      </w:r>
    </w:p>
    <w:p>
      <w:pPr>
        <w:pStyle w:val="Heading1"/>
        <w:jc w:val="left"/>
      </w:pPr>
      <w:r>
        <w:t>2. Related Work</w:t>
      </w:r>
    </w:p>
    <w:p>
      <w:pPr>
        <w:pStyle w:val="Heading2"/>
        <w:jc w:val="left"/>
      </w:pPr>
      <w:r>
        <w:t>2.1 Deep Learning for Chest X-ray Classification</w:t>
      </w:r>
    </w:p>
    <w:p>
      <w:r>
        <w:rPr>
          <w:b w:val="0"/>
        </w:rPr>
        <w:t>Transfer learning from ImageNet-pretrained CNN architectures, including ResNet, DenseNet and VGG variants, is the standard approach for chest X-ray classification given the limited size of labelled medical imaging datasets relative to natural image corpora. Prior work has applied these architectures to pneumonia, COVID-19 and other pulmonary conditions, generally reporting accuracies in the 83–90 percent range depending on the disease set and evaluation methodology.</w:t>
      </w:r>
    </w:p>
    <w:p>
      <w:pPr>
        <w:pStyle w:val="Heading2"/>
        <w:jc w:val="left"/>
      </w:pPr>
      <w:r>
        <w:t>2.2 Explainability Techniques in Medical Imaging</w:t>
      </w:r>
    </w:p>
    <w:p>
      <w:r>
        <w:rPr>
          <w:b w:val="0"/>
        </w:rPr>
        <w:t>Grad-CAM [1] is among the most widely used visual explanation techniques for CNN-based medical image classifiers, producing coarse localisation maps over the regions most responsible for a prediction. Complementary approaches such as LIME [6] and SHAP [2] provide feature-level attributions. Several studies combine multiple XAI techniques and evaluate the resulting explanations against radiologist-identified regions of interest. Adebayo et al. [11] show that several saliency methods pass visual inspection while failing basic sanity checks, which motivates the control-based reporting we adopt throughout Section 4.</w:t>
      </w:r>
    </w:p>
    <w:p>
      <w:pPr>
        <w:pStyle w:val="Heading2"/>
        <w:jc w:val="left"/>
      </w:pPr>
      <w:r>
        <w:t>2.3 Research Gap</w:t>
      </w:r>
    </w:p>
    <w:p>
      <w:r>
        <w:rPr>
          <w:b w:val="0"/>
        </w:rPr>
        <w:t>Two gaps motivate this work. First, while individual XAI techniques have been applied to chest X-ray diagnosis, comparatively few studies integrate a dual spatial and feature-attribution pipeline within an end-to-end serving workflow. Second, and more importantly, explanation quality is usually asserted from visual plausibility rather than measured against controls. DeGrave et al. [10] demonstrate shortcut learning in COVID-19 radiograph classifiers using saliency and generative methods; our contribution relative to that work is the ablation-plus-capacity evidence, and specifically the finding that the dual XAI pipeline routinely proposed as the remedy does not surface the problem.</w:t>
      </w:r>
    </w:p>
    <w:p>
      <w:pPr>
        <w:pStyle w:val="Heading1"/>
        <w:jc w:val="left"/>
      </w:pPr>
      <w:r>
        <w:t>3. Proposed Methodology</w:t>
      </w:r>
    </w:p>
    <w:p>
      <w:pPr>
        <w:pStyle w:val="Heading2"/>
        <w:jc w:val="left"/>
      </w:pPr>
      <w:r>
        <w:t>3.1 System Overview</w:t>
      </w:r>
    </w:p>
    <w:p>
      <w:r>
        <w:rPr>
          <w:b w:val="0"/>
        </w:rPr>
        <w:t>The system comprises four stages: (1) data acquisition and preprocessing, (2) classification using a fine-tuned residual network, (3) a dual explainability pipeline combining Grad-CAM and SHAP, and (4) exposure of predictions and both explanations through a FastAPI service. A fifth component, an out-of-distribution detector, allows the system to abstain and is also used in Section 4.3 as a diagnostic on the fidelity metrics themselves.</w:t>
      </w:r>
    </w:p>
    <w:p>
      <w:pPr>
        <w:pStyle w:val="Heading2"/>
        <w:jc w:val="left"/>
      </w:pPr>
      <w:r>
        <w:t>3.2 Dataset and Preprocessing</w:t>
      </w:r>
    </w:p>
    <w:p>
      <w:r>
        <w:rPr>
          <w:b/>
        </w:rPr>
        <w:t>Dataset.</w:t>
      </w:r>
      <w:r>
        <w:rPr>
          <w:b w:val="0"/>
        </w:rPr>
        <w:t xml:space="preserve"> All experiments use the COVID-19 Radiography Database, a publicly available compilation of 21,165 de-identified chest radiographs distributed through Kaggle. We use four classes: NORMAL (10,192), LUNG_OPACITY (6,012), COVID19 (3,616) and PNEUMONIA (1,345). Lung opacity is retained as a class in its own right and never merged into pneumonia, since it denotes a broader radiographic finding; Section 4.6 reports what happened when it was omitted. The database also ships lung segmentation masks for all four classes, used in Sections 4.3 and 4.5.</w:t>
      </w:r>
    </w:p>
    <w:p>
      <w:r>
        <w:rPr>
          <w:b/>
        </w:rPr>
        <w:t>Splitting.</w:t>
      </w:r>
      <w:r>
        <w:rPr>
          <w:b w:val="0"/>
        </w:rPr>
        <w:t xml:space="preserve"> Images are partitioned 70/15/15 into training (14,814), validation (3,176) and test (3,175) sets. The split is </w:t>
      </w:r>
      <w:r>
        <w:rPr>
          <w:b/>
        </w:rPr>
        <w:t>grouped by patient</w:t>
      </w:r>
      <w:r>
        <w:rPr>
          <w:b w:val="0"/>
        </w:rPr>
        <w:t>: several constituent collections contain multiple films of the same chest under systematic filenames, and splitting those at random places the same patient in both training and test, inflating the reported score. The publishers’ own train/test division is therefore pooled and redone rather than used as distributed.</w:t>
      </w:r>
    </w:p>
    <w:p>
      <w:r>
        <w:rPr>
          <w:b/>
        </w:rPr>
        <w:t>Preprocessing.</w:t>
      </w:r>
      <w:r>
        <w:rPr>
          <w:b w:val="0"/>
        </w:rPr>
        <w:t xml:space="preserve"> Images are converted to greyscale and replicated to three channels — chest radiographs carry no colour, but ImageNet-pretrained backbones have a three-channel input convolution whose weights are discarded if it is replaced — resized to 224×224, and normalised with ImageNet channel statistics.</w:t>
      </w:r>
    </w:p>
    <w:p>
      <w:r>
        <w:rPr>
          <w:b/>
        </w:rPr>
        <w:t>Augmentation</w:t>
      </w:r>
      <w:r>
        <w:rPr>
          <w:b w:val="0"/>
        </w:rPr>
        <w:t xml:space="preserve"> (training split only) comprises random resized cropping (scale 0.85–1.0), rotation up to 10 degrees, and brightness and contrast jitter of 0.15, standing in respectively for framing, patient positioning and exposure differences between machines and operators. </w:t>
      </w:r>
      <w:r>
        <w:rPr>
          <w:b/>
        </w:rPr>
        <w:t>Horizontal flipping is deliberately excluded.</w:t>
      </w:r>
      <w:r>
        <w:rPr>
          <w:b w:val="0"/>
        </w:rPr>
        <w:t xml:space="preserve"> It is the default augmentation for natural images and appears in most published chest X-ray pipelines, but a mirrored chest places the heart on the right, an anatomy occurring in roughly 1 in 10,000 people. Training a model to treat it as unremarkable is not a defensible trade for a marginal increase in effective dataset size.</w:t>
      </w:r>
    </w:p>
    <w:p>
      <w:r>
        <w:rPr>
          <w:b/>
        </w:rPr>
        <w:t>Class imbalance</w:t>
      </w:r>
      <w:r>
        <w:rPr>
          <w:b w:val="0"/>
        </w:rPr>
        <w:t xml:space="preserve"> is addressed by a weighted random sampler that draws each class approximately equally often. Inverse-frequency loss weighting is implemented as an alternative; the two are not combined, since applying both over-corrects toward the rare classes.</w:t>
      </w:r>
    </w:p>
    <w:p>
      <w:pPr>
        <w:pStyle w:val="Heading2"/>
        <w:jc w:val="left"/>
      </w:pPr>
      <w:r>
        <w:t>3.3 Model Architecture</w:t>
      </w:r>
    </w:p>
    <w:p>
      <w:r>
        <w:rPr>
          <w:b/>
        </w:rPr>
        <w:t>Backbones.</w:t>
      </w:r>
      <w:r>
        <w:rPr>
          <w:b w:val="0"/>
        </w:rPr>
        <w:t xml:space="preserve"> We report two ImageNet-pretrained backbones, ResNet18 and ResNet50, each with its 1000-way ImageNet head replaced by a fresh four-way linear layer, giving 11.18M and 23.52M parameters respectively — a factor of 2.1. Reporting both is not redundancy: Section 4.2 uses the comparison as a capacity ablation, and the near-identical result is itself evidence about the dataset.</w:t>
      </w:r>
    </w:p>
    <w:p>
      <w:r>
        <w:rPr>
          <w:b/>
        </w:rPr>
        <w:t>Two-stage fine-tuning.</w:t>
      </w:r>
      <w:r>
        <w:rPr>
          <w:b w:val="0"/>
        </w:rPr>
        <w:t xml:space="preserve"> The backbone is first frozen and only the new head is trained (learning rate 3×10⁻⁴), then the whole network is unfrozen and training continues from those weights at a reduced rate (1×10⁻⁴). Fine-tuning an entire residual network against a few thousand images per class from the outset largely memorises them. The second stage restores weights only: optimizer state is not carried across, since AdamW moments accumulated while the backbone was frozen do not describe the parameters the second stage unfreezes, and the cosine schedule belongs to the epoch budget of the run that declared it.</w:t>
      </w:r>
    </w:p>
    <w:p>
      <w:r>
        <w:rPr>
          <w:b/>
        </w:rPr>
        <w:t>Optimisation.</w:t>
      </w:r>
      <w:r>
        <w:rPr>
          <w:b w:val="0"/>
        </w:rPr>
        <w:t xml:space="preserve"> AdamW, weight decay 10⁻⁴, cosine-annealed learning rate, batch size 32, early stopping with patience 5.</w:t>
      </w:r>
    </w:p>
    <w:p>
      <w:r>
        <w:rPr>
          <w:b/>
        </w:rPr>
        <w:t>Model selection is on validation macro F1, not accuracy.</w:t>
      </w:r>
      <w:r>
        <w:rPr>
          <w:b w:val="0"/>
        </w:rPr>
        <w:t xml:space="preserve"> With COVID-19 at roughly a tenth of the normal-class count, a model that never predicts the rarest class can still post a high accuracy, and selection on accuracy would faithfully preserve that model. Macro F1 averages the per-class scores equally, making an ignored class expensive.</w:t>
      </w:r>
    </w:p>
    <w:p>
      <w:pPr>
        <w:pStyle w:val="Heading2"/>
        <w:jc w:val="left"/>
      </w:pPr>
      <w:r>
        <w:t>3.4 Explainability Pipeline</w:t>
      </w:r>
    </w:p>
    <w:p>
      <w:r>
        <w:rPr>
          <w:b/>
        </w:rPr>
        <w:t>Grad-CAM.</w:t>
      </w:r>
      <w:r>
        <w:rPr>
          <w:b w:val="0"/>
        </w:rPr>
        <w:t xml:space="preserve"> Gradient-weighted Class Activation Mapping is applied at the final convolutional block (7×7 for a 224-pixel input), weighting each feature map by the mean gradient of the target class score with respect to it, rectifying, and bilinearly upsampling to the input resolution. Explanations can be requested for a class other than the predicted one, which answers “why did the model not say pneumonia” rather than only “why did it say COVID-19”.</w:t>
      </w:r>
    </w:p>
    <w:p>
      <w:r>
        <w:rPr>
          <w:b/>
        </w:rPr>
        <w:t>SHAP over learned features.</w:t>
      </w:r>
      <w:r>
        <w:rPr>
          <w:b w:val="0"/>
        </w:rPr>
        <w:t xml:space="preserve"> SHAP is applied to the penultimate representation — 512 dimensions for ResNet18, 2048 for ResNet50 — rather than to pixels. This is deliberate. Pixel-level SHAP produces another spatial map, which would give the system two answers to where and none to how much; attributing over the features the classifier actually reads gives a genuinely different view.</w:t>
      </w:r>
    </w:p>
    <w:p>
      <w:r>
        <w:rPr>
          <w:b w:val="0"/>
        </w:rPr>
        <w:t>This choice also makes the attribution exact. The head is a single linear layer, so the class score is w·x + b, and for a linear model the Shapley values have a closed form: φᵢ = wᵢ(xᵢ − E[xᵢ]), with base value w·E[x] + b, where E[x] is the mean feature vector over the training split. No sampling and no convergence criterion are involved. The decomposition satisfies the Shapley efficiency axiom exactly — the contributions plus the base value reconstruct the logit — and our implementation is verified to agree with the reference LinearExplainer of Lundberg and Lee [2] to floating-point precision. Attributions may also be computed for the margin between two classes, which is the quantity an argmax decision actually turns on.</w:t>
      </w:r>
    </w:p>
    <w:p>
      <w:r>
        <w:rPr>
          <w:b/>
        </w:rPr>
        <w:t>Four limitations of the SHAP component</w:t>
      </w:r>
      <w:r>
        <w:rPr>
          <w:b w:val="0"/>
        </w:rPr>
        <w:t xml:space="preserve">, stated here because they bear directly on how Section 4.4 should be read. (i) A feature index is not a clinical concept: “feature 453 contributed +0.44 logits” is a true statement about the network and conveys nothing to a radiologist, and none of the dimensions corresponds to a named finding. (ii) The interventional formulation treats features as independent, which convolutional channels are not; this is the standard assumption and remains an assumption. (iii) Logits are explained, not probabilities, since softmax is not additive. (iv) </w:t>
      </w:r>
      <w:r>
        <w:rPr>
          <w:b/>
        </w:rPr>
        <w:t>The baseline is the mean training image, so the attribution inherits whatever the training set has in common — including its provenance.</w:t>
      </w:r>
      <w:r>
        <w:rPr>
          <w:b w:val="0"/>
        </w:rPr>
        <w:t xml:space="preserve"> Section 4.5 shows why this matters.</w:t>
      </w:r>
    </w:p>
    <w:p>
      <w:pPr>
        <w:pStyle w:val="Heading2"/>
        <w:jc w:val="left"/>
      </w:pPr>
      <w:r>
        <w:t>3.5 System Integration</w:t>
      </w:r>
    </w:p>
    <w:p>
      <w:r>
        <w:rPr>
          <w:b w:val="0"/>
        </w:rPr>
        <w:t>Classification and both explanations are served from a FastAPI application with four endpoints: /health reports whether weights and auxiliary statistics loaded; /predict returns the class distribution and the out-of-distribution verdict; /explain returns the Grad-CAM overlay as a PNG; and /analyze returns the prediction, the overlay base64-encoded, and the SHAP summary in a single JSON response.</w:t>
      </w:r>
    </w:p>
    <w:p>
      <w:r>
        <w:rPr>
          <w:b w:val="0"/>
        </w:rPr>
        <w:t>/analyze exists because the two explanations are intended to be read together, and delivering them over separate requests permits an interface to render the image and silently discard the numbers. Its SHAP block carries the base value, the sum of contributions and the resulting logit, so a client can verify the decomposition it is being shown rather than trusting the bars; it also carries the fraction of total attributed movement the listed features represent, for the reason given in Section 4.4.</w:t>
      </w:r>
    </w:p>
    <w:p>
      <w:r>
        <w:rPr>
          <w:b w:val="0"/>
        </w:rPr>
        <w:t xml:space="preserve">This service is kept </w:t>
      </w:r>
      <w:r>
        <w:rPr>
          <w:b/>
        </w:rPr>
        <w:t>separate from</w:t>
      </w:r>
      <w:r>
        <w:rPr>
          <w:b w:val="0"/>
        </w:rPr>
        <w:t xml:space="preserve"> the companion Smart Healthcare Triage System rather than embedded in it. The triage backend performs rule-based reasoning over symptom text and has no need of a multi-gigabyte deep learning runtime; coupling them would impose that cost on every deployment of the triage component. The two interoperate over HTTP, and the radiograph service runs on a separate port for that reason.</w:t>
      </w:r>
    </w:p>
    <w:p>
      <w:r>
        <w:rPr>
          <w:b w:val="0"/>
        </w:rPr>
        <w:t xml:space="preserve">Every response carries a non-dismissible disclaimer. The user interface deliberately does </w:t>
      </w:r>
      <w:r>
        <w:rPr>
          <w:b/>
        </w:rPr>
        <w:t>not</w:t>
      </w:r>
      <w:r>
        <w:rPr>
          <w:b w:val="0"/>
        </w:rPr>
        <w:t xml:space="preserve"> colour-code the disease classes: a green bar reading “NORMAL 94%” constitutes an all-clear this system is not entitled to give, so all probability bars share one colour and rank by length alone.</w:t>
      </w:r>
    </w:p>
    <w:p>
      <w:pPr>
        <w:pStyle w:val="Heading1"/>
        <w:jc w:val="left"/>
      </w:pPr>
      <w:r>
        <w:t>4. Evaluation Protocol and Results</w:t>
      </w:r>
    </w:p>
    <w:p>
      <w:r>
        <w:rPr>
          <w:b w:val="0"/>
        </w:rPr>
        <w:t>Each metric below is reported against an explicit null, since none of them is interpretable alone. Table 1 summarises the dimensions and their controls.</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tcPr>
          <w:p>
            <w:pPr>
              <w:keepNext/>
              <w:jc w:val="center"/>
            </w:pPr>
            <w:r/>
            <w:r>
              <w:rPr>
                <w:rFonts w:ascii="Times New Roman" w:hAnsi="Times New Roman"/>
                <w:b/>
                <w:sz w:val="18"/>
              </w:rPr>
              <w:t>Dimension</w:t>
            </w:r>
          </w:p>
        </w:tc>
        <w:tc>
          <w:tcPr>
            <w:tcW w:type="dxa" w:w="3120"/>
          </w:tcPr>
          <w:p>
            <w:pPr>
              <w:keepNext/>
              <w:jc w:val="center"/>
            </w:pPr>
            <w:r/>
            <w:r>
              <w:rPr>
                <w:rFonts w:ascii="Times New Roman" w:hAnsi="Times New Roman"/>
                <w:b/>
                <w:sz w:val="18"/>
              </w:rPr>
              <w:t>Metric</w:t>
            </w:r>
          </w:p>
        </w:tc>
        <w:tc>
          <w:tcPr>
            <w:tcW w:type="dxa" w:w="3120"/>
          </w:tcPr>
          <w:p>
            <w:pPr>
              <w:keepNext/>
              <w:jc w:val="center"/>
            </w:pPr>
            <w:r/>
            <w:r>
              <w:rPr>
                <w:rFonts w:ascii="Times New Roman" w:hAnsi="Times New Roman"/>
                <w:b/>
                <w:sz w:val="18"/>
              </w:rPr>
              <w:t>Control it is read against</w:t>
            </w:r>
          </w:p>
        </w:tc>
      </w:tr>
      <w:tr>
        <w:tc>
          <w:tcPr>
            <w:tcW w:type="dxa" w:w="3120"/>
          </w:tcPr>
          <w:p>
            <w:pPr>
              <w:keepNext/>
              <w:jc w:val="left"/>
            </w:pPr>
            <w:r>
              <w:rPr>
                <w:rFonts w:ascii="Times New Roman" w:hAnsi="Times New Roman"/>
                <w:sz w:val="18"/>
              </w:rPr>
            </w:r>
            <w:r>
              <w:rPr>
                <w:rFonts w:ascii="Times New Roman" w:hAnsi="Times New Roman"/>
                <w:b w:val="0"/>
                <w:sz w:val="18"/>
              </w:rPr>
              <w:t>Classification performance</w:t>
            </w:r>
          </w:p>
        </w:tc>
        <w:tc>
          <w:tcPr>
            <w:tcW w:type="dxa" w:w="3120"/>
          </w:tcPr>
          <w:p>
            <w:pPr>
              <w:keepNext/>
              <w:jc w:val="center"/>
            </w:pPr>
            <w:r>
              <w:rPr>
                <w:rFonts w:ascii="Times New Roman" w:hAnsi="Times New Roman"/>
                <w:sz w:val="18"/>
              </w:rPr>
            </w:r>
            <w:r>
              <w:rPr>
                <w:rFonts w:ascii="Times New Roman" w:hAnsi="Times New Roman"/>
                <w:b w:val="0"/>
                <w:sz w:val="18"/>
              </w:rPr>
              <w:t>Accuracy, macro/per-class precision, recall, F1, one-vs-rest AUC</w:t>
            </w:r>
          </w:p>
        </w:tc>
        <w:tc>
          <w:tcPr>
            <w:tcW w:type="dxa" w:w="3120"/>
          </w:tcPr>
          <w:p>
            <w:pPr>
              <w:keepNext/>
              <w:jc w:val="center"/>
            </w:pPr>
            <w:r>
              <w:rPr>
                <w:rFonts w:ascii="Times New Roman" w:hAnsi="Times New Roman"/>
                <w:sz w:val="18"/>
              </w:rPr>
            </w:r>
            <w:r>
              <w:rPr>
                <w:rFonts w:ascii="Times New Roman" w:hAnsi="Times New Roman"/>
                <w:b w:val="0"/>
                <w:sz w:val="18"/>
              </w:rPr>
              <w:t>Per-class recall, since accuracy is set by the majority class</w:t>
            </w:r>
          </w:p>
        </w:tc>
      </w:tr>
      <w:tr>
        <w:tc>
          <w:tcPr>
            <w:tcW w:type="dxa" w:w="3120"/>
          </w:tcPr>
          <w:p>
            <w:pPr>
              <w:keepNext/>
              <w:jc w:val="left"/>
            </w:pPr>
            <w:r>
              <w:rPr>
                <w:rFonts w:ascii="Times New Roman" w:hAnsi="Times New Roman"/>
                <w:sz w:val="18"/>
              </w:rPr>
            </w:r>
            <w:r>
              <w:rPr>
                <w:rFonts w:ascii="Times New Roman" w:hAnsi="Times New Roman"/>
                <w:b w:val="0"/>
                <w:sz w:val="18"/>
              </w:rPr>
              <w:t>Explanation fidelity</w:t>
            </w:r>
          </w:p>
        </w:tc>
        <w:tc>
          <w:tcPr>
            <w:tcW w:type="dxa" w:w="3120"/>
          </w:tcPr>
          <w:p>
            <w:pPr>
              <w:keepNext/>
              <w:jc w:val="center"/>
            </w:pPr>
            <w:r>
              <w:rPr>
                <w:rFonts w:ascii="Times New Roman" w:hAnsi="Times New Roman"/>
                <w:sz w:val="18"/>
              </w:rPr>
            </w:r>
            <w:r>
              <w:rPr>
                <w:rFonts w:ascii="Times New Roman" w:hAnsi="Times New Roman"/>
                <w:b w:val="0"/>
                <w:sz w:val="18"/>
              </w:rPr>
              <w:t>Deletion AUC, insertion AUC</w:t>
            </w:r>
          </w:p>
        </w:tc>
        <w:tc>
          <w:tcPr>
            <w:tcW w:type="dxa" w:w="3120"/>
          </w:tcPr>
          <w:p>
            <w:pPr>
              <w:keepNext/>
              <w:jc w:val="center"/>
            </w:pPr>
            <w:r>
              <w:rPr>
                <w:rFonts w:ascii="Times New Roman" w:hAnsi="Times New Roman"/>
                <w:sz w:val="18"/>
              </w:rPr>
            </w:r>
            <w:r>
              <w:rPr>
                <w:rFonts w:ascii="Times New Roman" w:hAnsi="Times New Roman"/>
                <w:b w:val="0"/>
                <w:sz w:val="18"/>
              </w:rPr>
              <w:t>The same curves under a random pixel ordering</w:t>
            </w:r>
          </w:p>
        </w:tc>
      </w:tr>
      <w:tr>
        <w:tc>
          <w:tcPr>
            <w:tcW w:type="dxa" w:w="3120"/>
          </w:tcPr>
          <w:p>
            <w:pPr>
              <w:keepNext/>
              <w:jc w:val="left"/>
            </w:pPr>
            <w:r>
              <w:rPr>
                <w:rFonts w:ascii="Times New Roman" w:hAnsi="Times New Roman"/>
                <w:sz w:val="18"/>
              </w:rPr>
            </w:r>
            <w:r>
              <w:rPr>
                <w:rFonts w:ascii="Times New Roman" w:hAnsi="Times New Roman"/>
                <w:b w:val="0"/>
                <w:sz w:val="18"/>
              </w:rPr>
              <w:t>Perturbation validity</w:t>
            </w:r>
          </w:p>
        </w:tc>
        <w:tc>
          <w:tcPr>
            <w:tcW w:type="dxa" w:w="3120"/>
          </w:tcPr>
          <w:p>
            <w:pPr>
              <w:keepNext/>
              <w:jc w:val="center"/>
            </w:pPr>
            <w:r>
              <w:rPr>
                <w:rFonts w:ascii="Times New Roman" w:hAnsi="Times New Roman"/>
                <w:sz w:val="18"/>
              </w:rPr>
            </w:r>
            <w:r>
              <w:rPr>
                <w:rFonts w:ascii="Times New Roman" w:hAnsi="Times New Roman"/>
                <w:b w:val="0"/>
                <w:sz w:val="18"/>
              </w:rPr>
              <w:t>Fraction of perturbation steps rejected by the OOD detector</w:t>
            </w:r>
          </w:p>
        </w:tc>
        <w:tc>
          <w:tcPr>
            <w:tcW w:type="dxa" w:w="3120"/>
          </w:tcPr>
          <w:p>
            <w:pPr>
              <w:keepNext/>
              <w:jc w:val="center"/>
            </w:pPr>
            <w:r>
              <w:rPr>
                <w:rFonts w:ascii="Times New Roman" w:hAnsi="Times New Roman"/>
                <w:sz w:val="18"/>
              </w:rPr>
            </w:r>
            <w:r>
              <w:rPr>
                <w:rFonts w:ascii="Times New Roman" w:hAnsi="Times New Roman"/>
                <w:b w:val="0"/>
                <w:sz w:val="18"/>
              </w:rPr>
              <w:t>A diagnostic on the two metrics above</w:t>
            </w:r>
          </w:p>
        </w:tc>
      </w:tr>
      <w:tr>
        <w:tc>
          <w:tcPr>
            <w:tcW w:type="dxa" w:w="3120"/>
          </w:tcPr>
          <w:p>
            <w:pPr>
              <w:keepNext/>
              <w:jc w:val="left"/>
            </w:pPr>
            <w:r>
              <w:rPr>
                <w:rFonts w:ascii="Times New Roman" w:hAnsi="Times New Roman"/>
                <w:sz w:val="18"/>
              </w:rPr>
            </w:r>
            <w:r>
              <w:rPr>
                <w:rFonts w:ascii="Times New Roman" w:hAnsi="Times New Roman"/>
                <w:b w:val="0"/>
                <w:sz w:val="18"/>
              </w:rPr>
              <w:t>Explanation localisation</w:t>
            </w:r>
          </w:p>
        </w:tc>
        <w:tc>
          <w:tcPr>
            <w:tcW w:type="dxa" w:w="3120"/>
          </w:tcPr>
          <w:p>
            <w:pPr>
              <w:keepNext/>
              <w:jc w:val="center"/>
            </w:pPr>
            <w:r>
              <w:rPr>
                <w:rFonts w:ascii="Times New Roman" w:hAnsi="Times New Roman"/>
                <w:sz w:val="18"/>
              </w:rPr>
            </w:r>
            <w:r>
              <w:rPr>
                <w:rFonts w:ascii="Times New Roman" w:hAnsi="Times New Roman"/>
                <w:b w:val="0"/>
                <w:sz w:val="18"/>
              </w:rPr>
              <w:t>Fraction of Grad-CAM mass inside the lung fields</w:t>
            </w:r>
          </w:p>
        </w:tc>
        <w:tc>
          <w:tcPr>
            <w:tcW w:type="dxa" w:w="3120"/>
          </w:tcPr>
          <w:p>
            <w:pPr>
              <w:keepNext/>
              <w:jc w:val="center"/>
            </w:pPr>
            <w:r>
              <w:rPr>
                <w:rFonts w:ascii="Times New Roman" w:hAnsi="Times New Roman"/>
                <w:sz w:val="18"/>
              </w:rPr>
            </w:r>
            <w:r>
              <w:rPr>
                <w:rFonts w:ascii="Times New Roman" w:hAnsi="Times New Roman"/>
                <w:b w:val="0"/>
                <w:sz w:val="18"/>
              </w:rPr>
              <w:t>The lung fields’ share of image area (enrichment = ratio)</w:t>
            </w:r>
          </w:p>
        </w:tc>
      </w:tr>
      <w:tr>
        <w:tc>
          <w:tcPr>
            <w:tcW w:type="dxa" w:w="3120"/>
          </w:tcPr>
          <w:p>
            <w:pPr>
              <w:keepNext/>
              <w:jc w:val="left"/>
            </w:pPr>
            <w:r>
              <w:rPr>
                <w:rFonts w:ascii="Times New Roman" w:hAnsi="Times New Roman"/>
                <w:sz w:val="18"/>
              </w:rPr>
            </w:r>
            <w:r>
              <w:rPr>
                <w:rFonts w:ascii="Times New Roman" w:hAnsi="Times New Roman"/>
                <w:b w:val="0"/>
                <w:sz w:val="18"/>
              </w:rPr>
              <w:t>Attribution consistency</w:t>
            </w:r>
          </w:p>
        </w:tc>
        <w:tc>
          <w:tcPr>
            <w:tcW w:type="dxa" w:w="3120"/>
          </w:tcPr>
          <w:p>
            <w:pPr>
              <w:keepNext/>
              <w:jc w:val="center"/>
            </w:pPr>
            <w:r>
              <w:rPr>
                <w:rFonts w:ascii="Times New Roman" w:hAnsi="Times New Roman"/>
                <w:sz w:val="18"/>
              </w:rPr>
            </w:r>
            <w:r>
              <w:rPr>
                <w:rFonts w:ascii="Times New Roman" w:hAnsi="Times New Roman"/>
                <w:b w:val="0"/>
                <w:sz w:val="18"/>
              </w:rPr>
              <w:t>Mean pairwise cosine similarity of SHAP vectors within a class</w:t>
            </w:r>
          </w:p>
        </w:tc>
        <w:tc>
          <w:tcPr>
            <w:tcW w:type="dxa" w:w="3120"/>
          </w:tcPr>
          <w:p>
            <w:pPr>
              <w:keepNext/>
              <w:jc w:val="center"/>
            </w:pPr>
            <w:r>
              <w:rPr>
                <w:rFonts w:ascii="Times New Roman" w:hAnsi="Times New Roman"/>
                <w:sz w:val="18"/>
              </w:rPr>
            </w:r>
            <w:r>
              <w:rPr>
                <w:rFonts w:ascii="Times New Roman" w:hAnsi="Times New Roman"/>
                <w:b w:val="0"/>
                <w:sz w:val="18"/>
              </w:rPr>
              <w:t>The same statistic over all pairs regardless of class</w:t>
            </w:r>
          </w:p>
        </w:tc>
      </w:tr>
      <w:tr>
        <w:tc>
          <w:tcPr>
            <w:tcW w:type="dxa" w:w="3120"/>
          </w:tcPr>
          <w:p>
            <w:pPr>
              <w:keepNext/>
              <w:jc w:val="left"/>
            </w:pPr>
            <w:r>
              <w:rPr>
                <w:rFonts w:ascii="Times New Roman" w:hAnsi="Times New Roman"/>
                <w:sz w:val="18"/>
              </w:rPr>
            </w:r>
            <w:r>
              <w:rPr>
                <w:rFonts w:ascii="Times New Roman" w:hAnsi="Times New Roman"/>
                <w:b w:val="0"/>
                <w:sz w:val="18"/>
              </w:rPr>
              <w:t>Attribution compactness</w:t>
            </w:r>
          </w:p>
        </w:tc>
        <w:tc>
          <w:tcPr>
            <w:tcW w:type="dxa" w:w="3120"/>
          </w:tcPr>
          <w:p>
            <w:pPr>
              <w:keepNext/>
              <w:jc w:val="center"/>
            </w:pPr>
            <w:r>
              <w:rPr>
                <w:rFonts w:ascii="Times New Roman" w:hAnsi="Times New Roman"/>
                <w:sz w:val="18"/>
              </w:rPr>
            </w:r>
            <w:r>
              <w:rPr>
                <w:rFonts w:ascii="Times New Roman" w:hAnsi="Times New Roman"/>
                <w:b w:val="0"/>
                <w:sz w:val="18"/>
              </w:rPr>
              <w:t>Share of total attributed movement in the top-k features</w:t>
            </w:r>
          </w:p>
        </w:tc>
        <w:tc>
          <w:tcPr>
            <w:tcW w:type="dxa" w:w="3120"/>
          </w:tcPr>
          <w:p>
            <w:pPr>
              <w:keepNext/>
              <w:jc w:val="center"/>
            </w:pPr>
            <w:r>
              <w:rPr>
                <w:rFonts w:ascii="Times New Roman" w:hAnsi="Times New Roman"/>
                <w:sz w:val="18"/>
              </w:rPr>
            </w:r>
            <w:r>
              <w:rPr>
                <w:rFonts w:ascii="Times New Roman" w:hAnsi="Times New Roman"/>
                <w:b w:val="0"/>
                <w:sz w:val="18"/>
              </w:rPr>
              <w:t>k / d, the uniform expectation</w:t>
            </w:r>
          </w:p>
        </w:tc>
      </w:tr>
      <w:tr>
        <w:tc>
          <w:tcPr>
            <w:tcW w:type="dxa" w:w="3120"/>
          </w:tcPr>
          <w:p>
            <w:pPr>
              <w:keepNext/>
              <w:jc w:val="left"/>
            </w:pPr>
            <w:r>
              <w:rPr>
                <w:rFonts w:ascii="Times New Roman" w:hAnsi="Times New Roman"/>
                <w:sz w:val="18"/>
              </w:rPr>
            </w:r>
            <w:r>
              <w:rPr>
                <w:rFonts w:ascii="Times New Roman" w:hAnsi="Times New Roman"/>
                <w:b w:val="0"/>
                <w:sz w:val="18"/>
              </w:rPr>
              <w:t>Shortcut sensitivity</w:t>
            </w:r>
          </w:p>
        </w:tc>
        <w:tc>
          <w:tcPr>
            <w:tcW w:type="dxa" w:w="3120"/>
          </w:tcPr>
          <w:p>
            <w:pPr>
              <w:keepNext/>
              <w:jc w:val="center"/>
            </w:pPr>
            <w:r>
              <w:rPr>
                <w:rFonts w:ascii="Times New Roman" w:hAnsi="Times New Roman"/>
                <w:sz w:val="18"/>
              </w:rPr>
            </w:r>
            <w:r>
              <w:rPr>
                <w:rFonts w:ascii="Times New Roman" w:hAnsi="Times New Roman"/>
                <w:b w:val="0"/>
                <w:sz w:val="18"/>
              </w:rPr>
              <w:t>Macro and per-class F1 under lung masking</w:t>
            </w:r>
          </w:p>
        </w:tc>
        <w:tc>
          <w:tcPr>
            <w:tcW w:type="dxa" w:w="3120"/>
          </w:tcPr>
          <w:p>
            <w:pPr>
              <w:keepNext/>
              <w:jc w:val="center"/>
            </w:pPr>
            <w:r>
              <w:rPr>
                <w:rFonts w:ascii="Times New Roman" w:hAnsi="Times New Roman"/>
                <w:sz w:val="18"/>
              </w:rPr>
            </w:r>
            <w:r>
              <w:rPr>
                <w:rFonts w:ascii="Times New Roman" w:hAnsi="Times New Roman"/>
                <w:b w:val="0"/>
                <w:sz w:val="18"/>
              </w:rPr>
              <w:t>The identical recipe on unmasked images</w:t>
            </w:r>
          </w:p>
        </w:tc>
      </w:tr>
      <w:tr>
        <w:tc>
          <w:tcPr>
            <w:tcW w:type="dxa" w:w="3120"/>
          </w:tcPr>
          <w:p>
            <w:pPr>
              <w:keepNext/>
              <w:jc w:val="left"/>
            </w:pPr>
            <w:r>
              <w:rPr>
                <w:rFonts w:ascii="Times New Roman" w:hAnsi="Times New Roman"/>
                <w:sz w:val="18"/>
              </w:rPr>
            </w:r>
            <w:r>
              <w:rPr>
                <w:rFonts w:ascii="Times New Roman" w:hAnsi="Times New Roman"/>
                <w:b w:val="0"/>
                <w:sz w:val="18"/>
              </w:rPr>
              <w:t>Abstention cost</w:t>
            </w:r>
          </w:p>
        </w:tc>
        <w:tc>
          <w:tcPr>
            <w:tcW w:type="dxa" w:w="3120"/>
          </w:tcPr>
          <w:p>
            <w:pPr>
              <w:keepNext/>
              <w:jc w:val="center"/>
            </w:pPr>
            <w:r>
              <w:rPr>
                <w:rFonts w:ascii="Times New Roman" w:hAnsi="Times New Roman"/>
                <w:sz w:val="18"/>
              </w:rPr>
            </w:r>
            <w:r>
              <w:rPr>
                <w:rFonts w:ascii="Times New Roman" w:hAnsi="Times New Roman"/>
                <w:b w:val="0"/>
                <w:sz w:val="18"/>
              </w:rPr>
              <w:t>False-reject rate per class at a calibrated percentile</w:t>
            </w:r>
          </w:p>
        </w:tc>
        <w:tc>
          <w:tcPr>
            <w:tcW w:type="dxa" w:w="3120"/>
          </w:tcPr>
          <w:p>
            <w:pPr>
              <w:keepNext/>
              <w:jc w:val="center"/>
            </w:pPr>
            <w:r>
              <w:rPr>
                <w:rFonts w:ascii="Times New Roman" w:hAnsi="Times New Roman"/>
                <w:sz w:val="18"/>
              </w:rPr>
            </w:r>
            <w:r>
              <w:rPr>
                <w:rFonts w:ascii="Times New Roman" w:hAnsi="Times New Roman"/>
                <w:b w:val="0"/>
                <w:sz w:val="18"/>
              </w:rPr>
              <w:t>The nominal percentile</w:t>
            </w:r>
          </w:p>
        </w:tc>
      </w:tr>
    </w:tbl>
    <w:p>
      <w:pPr>
        <w:spacing w:before="60" w:after="200"/>
        <w:jc w:val="left"/>
      </w:pPr>
      <w:r>
        <w:rPr>
          <w:b w:val="0"/>
          <w:i/>
          <w:sz w:val="18"/>
        </w:rPr>
        <w:t>Table 1. Evaluation dimensions, metrics and the control each is read against.</w:t>
      </w:r>
    </w:p>
    <w:p>
      <w:r>
        <w:rPr>
          <w:b/>
        </w:rPr>
        <w:t>On localisation.</w:t>
      </w:r>
      <w:r>
        <w:rPr>
          <w:b w:val="0"/>
        </w:rPr>
        <w:t xml:space="preserve"> We report the fraction of Grad-CAM mass falling inside the lung fields, </w:t>
      </w:r>
      <w:r>
        <w:rPr>
          <w:b/>
        </w:rPr>
        <w:t>not</w:t>
      </w:r>
      <w:r>
        <w:rPr>
          <w:b w:val="0"/>
        </w:rPr>
        <w:t xml:space="preserve"> intersection-over-union against annotated pathology. The distinction is material: the available masks segment the lungs, so a heatmap covering both lungs entirely scores perfectly while having localised nothing. Because the lung fields occupy roughly a quarter of a chest radiograph, an uninformative map already achieves a mass fraction near 0.24, and only the enrichment ratio — mass fraction divided by area fraction, where 1.0 denotes no better than uniform — carries information. Genuine pathology-level IoU requires region annotations this dataset does not carry, such as the RSNA Pneumonia Detection Challenge bounding boxes or the 984 annotated images in NIH ChestX-ray14; we identify this as the principal extension of the present protocol.</w:t>
      </w:r>
    </w:p>
    <w:p>
      <w:pPr>
        <w:pStyle w:val="Heading2"/>
        <w:jc w:val="left"/>
      </w:pPr>
      <w:r>
        <w:t>4.1 Classification Performance</w:t>
      </w:r>
    </w:p>
    <w:p>
      <w:r>
        <w:rPr>
          <w:b w:val="0"/>
        </w:rPr>
        <w:t>All figures are on the held-out test split of 3,175 images (COVID19 542, LUNG_OPACITY 902, NORMAL 1,529, PNEUMONIA 202).</w:t>
      </w:r>
    </w:p>
    <w:tbl>
      <w:tblPr>
        <w:tblStyle w:val="TableGrid"/>
        <w:tblW w:type="auto" w:w="0"/>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tcPr>
          <w:p>
            <w:pPr>
              <w:keepNext/>
              <w:jc w:val="center"/>
            </w:pPr>
            <w:r/>
            <w:r>
              <w:rPr>
                <w:rFonts w:ascii="Times New Roman" w:hAnsi="Times New Roman"/>
                <w:b/>
                <w:sz w:val="18"/>
              </w:rPr>
              <w:t>Backbone</w:t>
            </w:r>
          </w:p>
        </w:tc>
        <w:tc>
          <w:tcPr>
            <w:tcW w:type="dxa" w:w="1337"/>
          </w:tcPr>
          <w:p>
            <w:pPr>
              <w:keepNext/>
              <w:jc w:val="center"/>
            </w:pPr>
            <w:r/>
            <w:r>
              <w:rPr>
                <w:rFonts w:ascii="Times New Roman" w:hAnsi="Times New Roman"/>
                <w:b/>
                <w:sz w:val="18"/>
              </w:rPr>
              <w:t>Params</w:t>
            </w:r>
          </w:p>
        </w:tc>
        <w:tc>
          <w:tcPr>
            <w:tcW w:type="dxa" w:w="1337"/>
          </w:tcPr>
          <w:p>
            <w:pPr>
              <w:keepNext/>
              <w:jc w:val="center"/>
            </w:pPr>
            <w:r/>
            <w:r>
              <w:rPr>
                <w:rFonts w:ascii="Times New Roman" w:hAnsi="Times New Roman"/>
                <w:b/>
                <w:sz w:val="18"/>
              </w:rPr>
              <w:t>Macro F1</w:t>
            </w:r>
          </w:p>
        </w:tc>
        <w:tc>
          <w:tcPr>
            <w:tcW w:type="dxa" w:w="1337"/>
          </w:tcPr>
          <w:p>
            <w:pPr>
              <w:keepNext/>
              <w:jc w:val="center"/>
            </w:pPr>
            <w:r/>
            <w:r>
              <w:rPr>
                <w:rFonts w:ascii="Times New Roman" w:hAnsi="Times New Roman"/>
                <w:b/>
                <w:sz w:val="18"/>
              </w:rPr>
              <w:t>Accuracy</w:t>
            </w:r>
          </w:p>
        </w:tc>
        <w:tc>
          <w:tcPr>
            <w:tcW w:type="dxa" w:w="1337"/>
          </w:tcPr>
          <w:p>
            <w:pPr>
              <w:keepNext/>
              <w:jc w:val="center"/>
            </w:pPr>
            <w:r/>
            <w:r>
              <w:rPr>
                <w:rFonts w:ascii="Times New Roman" w:hAnsi="Times New Roman"/>
                <w:b/>
                <w:sz w:val="18"/>
              </w:rPr>
              <w:t>Macro AUC</w:t>
            </w:r>
          </w:p>
        </w:tc>
        <w:tc>
          <w:tcPr>
            <w:tcW w:type="dxa" w:w="1337"/>
          </w:tcPr>
          <w:p>
            <w:pPr>
              <w:keepNext/>
              <w:jc w:val="center"/>
            </w:pPr>
            <w:r/>
            <w:r>
              <w:rPr>
                <w:rFonts w:ascii="Times New Roman" w:hAnsi="Times New Roman"/>
                <w:b/>
                <w:sz w:val="18"/>
              </w:rPr>
              <w:t>Macro P</w:t>
            </w:r>
          </w:p>
        </w:tc>
        <w:tc>
          <w:tcPr>
            <w:tcW w:type="dxa" w:w="1337"/>
          </w:tcPr>
          <w:p>
            <w:pPr>
              <w:keepNext/>
              <w:jc w:val="center"/>
            </w:pPr>
            <w:r/>
            <w:r>
              <w:rPr>
                <w:rFonts w:ascii="Times New Roman" w:hAnsi="Times New Roman"/>
                <w:b/>
                <w:sz w:val="18"/>
              </w:rPr>
              <w:t>Macro R</w:t>
            </w:r>
          </w:p>
        </w:tc>
      </w:tr>
      <w:tr>
        <w:tc>
          <w:tcPr>
            <w:tcW w:type="dxa" w:w="1337"/>
          </w:tcPr>
          <w:p>
            <w:pPr>
              <w:keepNext/>
              <w:jc w:val="left"/>
            </w:pPr>
            <w:r>
              <w:rPr>
                <w:rFonts w:ascii="Times New Roman" w:hAnsi="Times New Roman"/>
                <w:sz w:val="18"/>
              </w:rPr>
            </w:r>
            <w:r>
              <w:rPr>
                <w:rFonts w:ascii="Times New Roman" w:hAnsi="Times New Roman"/>
                <w:b w:val="0"/>
                <w:sz w:val="18"/>
              </w:rPr>
              <w:t>ResNet18</w:t>
            </w:r>
          </w:p>
        </w:tc>
        <w:tc>
          <w:tcPr>
            <w:tcW w:type="dxa" w:w="1337"/>
          </w:tcPr>
          <w:p>
            <w:pPr>
              <w:keepNext/>
              <w:jc w:val="center"/>
            </w:pPr>
            <w:r>
              <w:rPr>
                <w:rFonts w:ascii="Times New Roman" w:hAnsi="Times New Roman"/>
                <w:sz w:val="18"/>
              </w:rPr>
            </w:r>
            <w:r>
              <w:rPr>
                <w:rFonts w:ascii="Times New Roman" w:hAnsi="Times New Roman"/>
                <w:b w:val="0"/>
                <w:sz w:val="18"/>
              </w:rPr>
              <w:t>11.18M</w:t>
            </w:r>
          </w:p>
        </w:tc>
        <w:tc>
          <w:tcPr>
            <w:tcW w:type="dxa" w:w="1337"/>
          </w:tcPr>
          <w:p>
            <w:pPr>
              <w:keepNext/>
              <w:jc w:val="center"/>
            </w:pPr>
            <w:r>
              <w:rPr>
                <w:rFonts w:ascii="Times New Roman" w:hAnsi="Times New Roman"/>
                <w:sz w:val="18"/>
              </w:rPr>
            </w:r>
            <w:r>
              <w:rPr>
                <w:rFonts w:ascii="Times New Roman" w:hAnsi="Times New Roman"/>
                <w:b w:val="0"/>
                <w:sz w:val="18"/>
              </w:rPr>
              <w:t>0.9587</w:t>
            </w:r>
          </w:p>
        </w:tc>
        <w:tc>
          <w:tcPr>
            <w:tcW w:type="dxa" w:w="1337"/>
          </w:tcPr>
          <w:p>
            <w:pPr>
              <w:keepNext/>
              <w:jc w:val="center"/>
            </w:pPr>
            <w:r>
              <w:rPr>
                <w:rFonts w:ascii="Times New Roman" w:hAnsi="Times New Roman"/>
                <w:sz w:val="18"/>
              </w:rPr>
            </w:r>
            <w:r>
              <w:rPr>
                <w:rFonts w:ascii="Times New Roman" w:hAnsi="Times New Roman"/>
                <w:b w:val="0"/>
                <w:sz w:val="18"/>
              </w:rPr>
              <w:t>0.9524</w:t>
            </w:r>
          </w:p>
        </w:tc>
        <w:tc>
          <w:tcPr>
            <w:tcW w:type="dxa" w:w="1337"/>
          </w:tcPr>
          <w:p>
            <w:pPr>
              <w:keepNext/>
              <w:jc w:val="center"/>
            </w:pPr>
            <w:r>
              <w:rPr>
                <w:rFonts w:ascii="Times New Roman" w:hAnsi="Times New Roman"/>
                <w:sz w:val="18"/>
              </w:rPr>
            </w:r>
            <w:r>
              <w:rPr>
                <w:rFonts w:ascii="Times New Roman" w:hAnsi="Times New Roman"/>
                <w:b w:val="0"/>
                <w:sz w:val="18"/>
              </w:rPr>
              <w:t>0.9928</w:t>
            </w:r>
          </w:p>
        </w:tc>
        <w:tc>
          <w:tcPr>
            <w:tcW w:type="dxa" w:w="1337"/>
          </w:tcPr>
          <w:p>
            <w:pPr>
              <w:keepNext/>
              <w:jc w:val="center"/>
            </w:pPr>
            <w:r>
              <w:rPr>
                <w:rFonts w:ascii="Times New Roman" w:hAnsi="Times New Roman"/>
                <w:sz w:val="18"/>
              </w:rPr>
            </w:r>
            <w:r>
              <w:rPr>
                <w:rFonts w:ascii="Times New Roman" w:hAnsi="Times New Roman"/>
                <w:b w:val="0"/>
                <w:sz w:val="18"/>
              </w:rPr>
              <w:t>0.9640</w:t>
            </w:r>
          </w:p>
        </w:tc>
        <w:tc>
          <w:tcPr>
            <w:tcW w:type="dxa" w:w="1337"/>
          </w:tcPr>
          <w:p>
            <w:pPr>
              <w:keepNext/>
              <w:jc w:val="center"/>
            </w:pPr>
            <w:r>
              <w:rPr>
                <w:rFonts w:ascii="Times New Roman" w:hAnsi="Times New Roman"/>
                <w:sz w:val="18"/>
              </w:rPr>
            </w:r>
            <w:r>
              <w:rPr>
                <w:rFonts w:ascii="Times New Roman" w:hAnsi="Times New Roman"/>
                <w:b w:val="0"/>
                <w:sz w:val="18"/>
              </w:rPr>
              <w:t>0.9536</w:t>
            </w:r>
          </w:p>
        </w:tc>
      </w:tr>
      <w:tr>
        <w:tc>
          <w:tcPr>
            <w:tcW w:type="dxa" w:w="1337"/>
          </w:tcPr>
          <w:p>
            <w:pPr>
              <w:keepNext/>
              <w:jc w:val="left"/>
            </w:pPr>
            <w:r>
              <w:rPr>
                <w:rFonts w:ascii="Times New Roman" w:hAnsi="Times New Roman"/>
                <w:sz w:val="18"/>
              </w:rPr>
            </w:r>
            <w:r>
              <w:rPr>
                <w:rFonts w:ascii="Times New Roman" w:hAnsi="Times New Roman"/>
                <w:b w:val="0"/>
                <w:sz w:val="18"/>
              </w:rPr>
              <w:t>ResNet50</w:t>
            </w:r>
          </w:p>
        </w:tc>
        <w:tc>
          <w:tcPr>
            <w:tcW w:type="dxa" w:w="1337"/>
          </w:tcPr>
          <w:p>
            <w:pPr>
              <w:keepNext/>
              <w:jc w:val="center"/>
            </w:pPr>
            <w:r>
              <w:rPr>
                <w:rFonts w:ascii="Times New Roman" w:hAnsi="Times New Roman"/>
                <w:sz w:val="18"/>
              </w:rPr>
            </w:r>
            <w:r>
              <w:rPr>
                <w:rFonts w:ascii="Times New Roman" w:hAnsi="Times New Roman"/>
                <w:b w:val="0"/>
                <w:sz w:val="18"/>
              </w:rPr>
              <w:t>23.52M</w:t>
            </w:r>
          </w:p>
        </w:tc>
        <w:tc>
          <w:tcPr>
            <w:tcW w:type="dxa" w:w="1337"/>
          </w:tcPr>
          <w:p>
            <w:pPr>
              <w:keepNext/>
              <w:jc w:val="center"/>
            </w:pPr>
            <w:r>
              <w:rPr>
                <w:rFonts w:ascii="Times New Roman" w:hAnsi="Times New Roman"/>
                <w:sz w:val="18"/>
              </w:rPr>
            </w:r>
            <w:r>
              <w:rPr>
                <w:rFonts w:ascii="Times New Roman" w:hAnsi="Times New Roman"/>
                <w:b w:val="0"/>
                <w:sz w:val="18"/>
              </w:rPr>
              <w:t>0.9576</w:t>
            </w:r>
          </w:p>
        </w:tc>
        <w:tc>
          <w:tcPr>
            <w:tcW w:type="dxa" w:w="1337"/>
          </w:tcPr>
          <w:p>
            <w:pPr>
              <w:keepNext/>
              <w:jc w:val="center"/>
            </w:pPr>
            <w:r>
              <w:rPr>
                <w:rFonts w:ascii="Times New Roman" w:hAnsi="Times New Roman"/>
                <w:sz w:val="18"/>
              </w:rPr>
            </w:r>
            <w:r>
              <w:rPr>
                <w:rFonts w:ascii="Times New Roman" w:hAnsi="Times New Roman"/>
                <w:b w:val="0"/>
                <w:sz w:val="18"/>
              </w:rPr>
              <w:t>0.9512</w:t>
            </w:r>
          </w:p>
        </w:tc>
        <w:tc>
          <w:tcPr>
            <w:tcW w:type="dxa" w:w="1337"/>
          </w:tcPr>
          <w:p>
            <w:pPr>
              <w:keepNext/>
              <w:jc w:val="center"/>
            </w:pPr>
            <w:r>
              <w:rPr>
                <w:rFonts w:ascii="Times New Roman" w:hAnsi="Times New Roman"/>
                <w:sz w:val="18"/>
              </w:rPr>
            </w:r>
            <w:r>
              <w:rPr>
                <w:rFonts w:ascii="Times New Roman" w:hAnsi="Times New Roman"/>
                <w:b w:val="0"/>
                <w:sz w:val="18"/>
              </w:rPr>
              <w:t>0.9937</w:t>
            </w:r>
          </w:p>
        </w:tc>
        <w:tc>
          <w:tcPr>
            <w:tcW w:type="dxa" w:w="1337"/>
          </w:tcPr>
          <w:p>
            <w:pPr>
              <w:keepNext/>
              <w:jc w:val="center"/>
            </w:pPr>
            <w:r>
              <w:rPr>
                <w:rFonts w:ascii="Times New Roman" w:hAnsi="Times New Roman"/>
                <w:sz w:val="18"/>
              </w:rPr>
            </w:r>
            <w:r>
              <w:rPr>
                <w:rFonts w:ascii="Times New Roman" w:hAnsi="Times New Roman"/>
                <w:b w:val="0"/>
                <w:sz w:val="18"/>
              </w:rPr>
              <w:t>0.9630</w:t>
            </w:r>
          </w:p>
        </w:tc>
        <w:tc>
          <w:tcPr>
            <w:tcW w:type="dxa" w:w="1337"/>
          </w:tcPr>
          <w:p>
            <w:pPr>
              <w:keepNext/>
              <w:jc w:val="center"/>
            </w:pPr>
            <w:r>
              <w:rPr>
                <w:rFonts w:ascii="Times New Roman" w:hAnsi="Times New Roman"/>
                <w:sz w:val="18"/>
              </w:rPr>
            </w:r>
            <w:r>
              <w:rPr>
                <w:rFonts w:ascii="Times New Roman" w:hAnsi="Times New Roman"/>
                <w:b w:val="0"/>
                <w:sz w:val="18"/>
              </w:rPr>
              <w:t>0.9527</w:t>
            </w:r>
          </w:p>
        </w:tc>
      </w:tr>
    </w:tbl>
    <w:p>
      <w:pPr>
        <w:spacing w:before="60" w:after="200"/>
        <w:jc w:val="left"/>
      </w:pPr>
      <w:r>
        <w:rPr>
          <w:b w:val="0"/>
          <w:i/>
          <w:sz w:val="18"/>
        </w:rPr>
        <w:t>Table 2. Classification performance, seed-42 runs.</w:t>
      </w:r>
    </w:p>
    <w:p>
      <w:r>
        <w:rPr>
          <w:b/>
        </w:rPr>
        <w:t>These are single runs at seed 42</w:t>
      </w:r>
      <w:r>
        <w:rPr>
          <w:b w:val="0"/>
        </w:rPr>
        <w:t>, and are the checkpoints every subsequent section analyses, so the per-class breakdown and the explanation metrics all refer to these two specific models. Section 4.2 reports three seeds per backbone and should be consulted before any two numbers in this table are compared: the run-to-run spread is larger than the difference between the rows.</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tcPr>
          <w:p>
            <w:pPr>
              <w:keepNext/>
              <w:jc w:val="center"/>
            </w:pPr>
            <w:r/>
            <w:r>
              <w:rPr>
                <w:rFonts w:ascii="Times New Roman" w:hAnsi="Times New Roman"/>
                <w:b/>
                <w:sz w:val="18"/>
              </w:rPr>
              <w:t>Class</w:t>
            </w:r>
          </w:p>
        </w:tc>
        <w:tc>
          <w:tcPr>
            <w:tcW w:type="dxa" w:w="3120"/>
          </w:tcPr>
          <w:p>
            <w:pPr>
              <w:keepNext/>
              <w:jc w:val="center"/>
            </w:pPr>
            <w:r/>
            <w:r>
              <w:rPr>
                <w:rFonts w:ascii="Times New Roman" w:hAnsi="Times New Roman"/>
                <w:b/>
                <w:sz w:val="18"/>
              </w:rPr>
              <w:t>ResNet18 P / R / F1 / AUC</w:t>
            </w:r>
          </w:p>
        </w:tc>
        <w:tc>
          <w:tcPr>
            <w:tcW w:type="dxa" w:w="3120"/>
          </w:tcPr>
          <w:p>
            <w:pPr>
              <w:keepNext/>
              <w:jc w:val="center"/>
            </w:pPr>
            <w:r/>
            <w:r>
              <w:rPr>
                <w:rFonts w:ascii="Times New Roman" w:hAnsi="Times New Roman"/>
                <w:b/>
                <w:sz w:val="18"/>
              </w:rPr>
              <w:t>ResNet50 P / R / F1 / AUC</w:t>
            </w:r>
          </w:p>
        </w:tc>
      </w:tr>
      <w:tr>
        <w:tc>
          <w:tcPr>
            <w:tcW w:type="dxa" w:w="3120"/>
          </w:tcPr>
          <w:p>
            <w:pPr>
              <w:keepNext/>
              <w:jc w:val="left"/>
            </w:pPr>
            <w:r>
              <w:rPr>
                <w:rFonts w:ascii="Times New Roman" w:hAnsi="Times New Roman"/>
                <w:sz w:val="18"/>
              </w:rPr>
            </w:r>
            <w:r>
              <w:rPr>
                <w:rFonts w:ascii="Times New Roman" w:hAnsi="Times New Roman"/>
                <w:b w:val="0"/>
                <w:sz w:val="18"/>
              </w:rPr>
              <w:t>COVID19</w:t>
            </w:r>
          </w:p>
        </w:tc>
        <w:tc>
          <w:tcPr>
            <w:tcW w:type="dxa" w:w="3120"/>
          </w:tcPr>
          <w:p>
            <w:pPr>
              <w:keepNext/>
              <w:jc w:val="center"/>
            </w:pPr>
            <w:r>
              <w:rPr>
                <w:rFonts w:ascii="Times New Roman" w:hAnsi="Times New Roman"/>
                <w:sz w:val="18"/>
              </w:rPr>
            </w:r>
            <w:r>
              <w:rPr>
                <w:rFonts w:ascii="Times New Roman" w:hAnsi="Times New Roman"/>
                <w:b w:val="0"/>
                <w:sz w:val="18"/>
              </w:rPr>
              <w:t>0.989 / 0.976 / 0.982 / 0.9993</w:t>
            </w:r>
          </w:p>
        </w:tc>
        <w:tc>
          <w:tcPr>
            <w:tcW w:type="dxa" w:w="3120"/>
          </w:tcPr>
          <w:p>
            <w:pPr>
              <w:keepNext/>
              <w:jc w:val="center"/>
            </w:pPr>
            <w:r>
              <w:rPr>
                <w:rFonts w:ascii="Times New Roman" w:hAnsi="Times New Roman"/>
                <w:sz w:val="18"/>
              </w:rPr>
            </w:r>
            <w:r>
              <w:rPr>
                <w:rFonts w:ascii="Times New Roman" w:hAnsi="Times New Roman"/>
                <w:b w:val="0"/>
                <w:sz w:val="18"/>
              </w:rPr>
              <w:t>0.985 / 0.980 / 0.982 / 0.9991</w:t>
            </w:r>
          </w:p>
        </w:tc>
      </w:tr>
      <w:tr>
        <w:tc>
          <w:tcPr>
            <w:tcW w:type="dxa" w:w="3120"/>
          </w:tcPr>
          <w:p>
            <w:pPr>
              <w:keepNext/>
              <w:jc w:val="left"/>
            </w:pPr>
            <w:r>
              <w:rPr>
                <w:rFonts w:ascii="Times New Roman" w:hAnsi="Times New Roman"/>
                <w:sz w:val="18"/>
              </w:rPr>
            </w:r>
            <w:r>
              <w:rPr>
                <w:rFonts w:ascii="Times New Roman" w:hAnsi="Times New Roman"/>
                <w:b w:val="0"/>
                <w:sz w:val="18"/>
              </w:rPr>
              <w:t>LUNG_OPACITY</w:t>
            </w:r>
          </w:p>
        </w:tc>
        <w:tc>
          <w:tcPr>
            <w:tcW w:type="dxa" w:w="3120"/>
          </w:tcPr>
          <w:p>
            <w:pPr>
              <w:keepNext/>
              <w:jc w:val="center"/>
            </w:pPr>
            <w:r>
              <w:rPr>
                <w:rFonts w:ascii="Times New Roman" w:hAnsi="Times New Roman"/>
                <w:sz w:val="18"/>
              </w:rPr>
            </w:r>
            <w:r>
              <w:rPr>
                <w:rFonts w:ascii="Times New Roman" w:hAnsi="Times New Roman"/>
                <w:b w:val="0"/>
                <w:sz w:val="18"/>
              </w:rPr>
              <w:t>0.939 / 0.920 / 0.929 / 0.9858</w:t>
            </w:r>
          </w:p>
        </w:tc>
        <w:tc>
          <w:tcPr>
            <w:tcW w:type="dxa" w:w="3120"/>
          </w:tcPr>
          <w:p>
            <w:pPr>
              <w:keepNext/>
              <w:jc w:val="center"/>
            </w:pPr>
            <w:r>
              <w:rPr>
                <w:rFonts w:ascii="Times New Roman" w:hAnsi="Times New Roman"/>
                <w:sz w:val="18"/>
              </w:rPr>
            </w:r>
            <w:r>
              <w:rPr>
                <w:rFonts w:ascii="Times New Roman" w:hAnsi="Times New Roman"/>
                <w:b w:val="0"/>
                <w:sz w:val="18"/>
              </w:rPr>
              <w:t>0.951 / 0.901 / 0.925 / 0.9887</w:t>
            </w:r>
          </w:p>
        </w:tc>
      </w:tr>
      <w:tr>
        <w:tc>
          <w:tcPr>
            <w:tcW w:type="dxa" w:w="3120"/>
          </w:tcPr>
          <w:p>
            <w:pPr>
              <w:keepNext/>
              <w:jc w:val="left"/>
            </w:pPr>
            <w:r>
              <w:rPr>
                <w:rFonts w:ascii="Times New Roman" w:hAnsi="Times New Roman"/>
                <w:sz w:val="18"/>
              </w:rPr>
            </w:r>
            <w:r>
              <w:rPr>
                <w:rFonts w:ascii="Times New Roman" w:hAnsi="Times New Roman"/>
                <w:b w:val="0"/>
                <w:sz w:val="18"/>
              </w:rPr>
              <w:t>NORMAL</w:t>
            </w:r>
          </w:p>
        </w:tc>
        <w:tc>
          <w:tcPr>
            <w:tcW w:type="dxa" w:w="3120"/>
          </w:tcPr>
          <w:p>
            <w:pPr>
              <w:keepNext/>
              <w:jc w:val="center"/>
            </w:pPr>
            <w:r>
              <w:rPr>
                <w:rFonts w:ascii="Times New Roman" w:hAnsi="Times New Roman"/>
                <w:sz w:val="18"/>
              </w:rPr>
            </w:r>
            <w:r>
              <w:rPr>
                <w:rFonts w:ascii="Times New Roman" w:hAnsi="Times New Roman"/>
                <w:b w:val="0"/>
                <w:sz w:val="18"/>
              </w:rPr>
              <w:t>0.944 / 0.963 / 0.953 / 0.9870</w:t>
            </w:r>
          </w:p>
        </w:tc>
        <w:tc>
          <w:tcPr>
            <w:tcW w:type="dxa" w:w="3120"/>
          </w:tcPr>
          <w:p>
            <w:pPr>
              <w:keepNext/>
              <w:jc w:val="center"/>
            </w:pPr>
            <w:r>
              <w:rPr>
                <w:rFonts w:ascii="Times New Roman" w:hAnsi="Times New Roman"/>
                <w:sz w:val="18"/>
              </w:rPr>
            </w:r>
            <w:r>
              <w:rPr>
                <w:rFonts w:ascii="Times New Roman" w:hAnsi="Times New Roman"/>
                <w:b w:val="0"/>
                <w:sz w:val="18"/>
              </w:rPr>
              <w:t>0.936 / 0.969 / 0.952 / 0.9873</w:t>
            </w:r>
          </w:p>
        </w:tc>
      </w:tr>
      <w:tr>
        <w:tc>
          <w:tcPr>
            <w:tcW w:type="dxa" w:w="3120"/>
          </w:tcPr>
          <w:p>
            <w:pPr>
              <w:keepNext/>
              <w:jc w:val="left"/>
            </w:pPr>
            <w:r>
              <w:rPr>
                <w:rFonts w:ascii="Times New Roman" w:hAnsi="Times New Roman"/>
                <w:sz w:val="18"/>
              </w:rPr>
            </w:r>
            <w:r>
              <w:rPr>
                <w:rFonts w:ascii="Times New Roman" w:hAnsi="Times New Roman"/>
                <w:b w:val="0"/>
                <w:sz w:val="18"/>
              </w:rPr>
              <w:t>PNEUMONIA</w:t>
            </w:r>
          </w:p>
        </w:tc>
        <w:tc>
          <w:tcPr>
            <w:tcW w:type="dxa" w:w="3120"/>
          </w:tcPr>
          <w:p>
            <w:pPr>
              <w:keepNext/>
              <w:jc w:val="center"/>
            </w:pPr>
            <w:r>
              <w:rPr>
                <w:rFonts w:ascii="Times New Roman" w:hAnsi="Times New Roman"/>
                <w:sz w:val="18"/>
              </w:rPr>
            </w:r>
            <w:r>
              <w:rPr>
                <w:rFonts w:ascii="Times New Roman" w:hAnsi="Times New Roman"/>
                <w:b w:val="0"/>
                <w:sz w:val="18"/>
              </w:rPr>
              <w:t>0.985 / 0.955 / 0.970 / 0.9992</w:t>
            </w:r>
          </w:p>
        </w:tc>
        <w:tc>
          <w:tcPr>
            <w:tcW w:type="dxa" w:w="3120"/>
          </w:tcPr>
          <w:p>
            <w:pPr>
              <w:keepNext/>
              <w:jc w:val="center"/>
            </w:pPr>
            <w:r>
              <w:rPr>
                <w:rFonts w:ascii="Times New Roman" w:hAnsi="Times New Roman"/>
                <w:sz w:val="18"/>
              </w:rPr>
            </w:r>
            <w:r>
              <w:rPr>
                <w:rFonts w:ascii="Times New Roman" w:hAnsi="Times New Roman"/>
                <w:b w:val="0"/>
                <w:sz w:val="18"/>
              </w:rPr>
              <w:t>0.980 / 0.960 / 0.970 / 0.9995</w:t>
            </w:r>
          </w:p>
        </w:tc>
      </w:tr>
    </w:tbl>
    <w:p>
      <w:pPr>
        <w:spacing w:before="60" w:after="200"/>
        <w:jc w:val="left"/>
      </w:pPr>
      <w:r>
        <w:rPr>
          <w:b w:val="0"/>
          <w:i/>
          <w:sz w:val="18"/>
        </w:rPr>
        <w:t>Table 3. Per-class precision, recall, F1 and one-vs-rest AUC.</w:t>
      </w:r>
    </w:p>
    <w:p>
      <w:r>
        <w:rPr>
          <w:b w:val="0"/>
        </w:rPr>
        <w:t xml:space="preserve">These figures are comparable to published results on this dataset. </w:t>
      </w:r>
      <w:r>
        <w:rPr>
          <w:b/>
        </w:rPr>
        <w:t>They should not be quoted without Section 4.5</w:t>
      </w:r>
      <w:r>
        <w:rPr>
          <w:b w:val="0"/>
        </w:rPr>
        <w:t>, which establishes that the classes are separable by source archive, so a score in this range is what a model would produce by learning which repository an image came from.</w:t>
      </w:r>
    </w:p>
    <w:p>
      <w:r>
        <w:rPr>
          <w:b w:val="0"/>
        </w:rPr>
        <w:t>Lung opacity is the weakest class under both backbones, and the confusion is almost entirely with NORMAL: 86 of 902 lung-opacity films are called normal by the ResNet50 model, and 39 normal films are called lung opacity. This is expected behaviour for two classes differing by a graded radiographic finding rather than a categorical one.</w:t>
      </w:r>
    </w:p>
    <w:p>
      <w:pPr>
        <w:pStyle w:val="Heading2"/>
        <w:jc w:val="left"/>
      </w:pPr>
      <w:r>
        <w:t>4.2 Capacity Ablation and Seed Variance</w:t>
      </w:r>
    </w:p>
    <w:p>
      <w:r>
        <w:rPr>
          <w:b w:val="0"/>
        </w:rPr>
        <w:t>Each configuration was trained three times under the identical two-stage recipe, varying only the seed, which governs head initialisation, sampler draws and augmentation order. The train/validation/test partition is fixed on disk and is therefore not resampled, so what follows is training-run variance on one split.</w:t>
      </w:r>
    </w:p>
    <w:tbl>
      <w:tblPr>
        <w:tblStyle w:val="TableGrid"/>
        <w:tblW w:type="auto" w:w="0"/>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tcPr>
          <w:p>
            <w:pPr>
              <w:keepNext/>
              <w:jc w:val="center"/>
            </w:pPr>
            <w:r/>
            <w:r>
              <w:rPr>
                <w:rFonts w:ascii="Times New Roman" w:hAnsi="Times New Roman"/>
                <w:b/>
                <w:sz w:val="18"/>
              </w:rPr>
              <w:t>Metric</w:t>
            </w:r>
          </w:p>
        </w:tc>
        <w:tc>
          <w:tcPr>
            <w:tcW w:type="dxa" w:w="1337"/>
          </w:tcPr>
          <w:p>
            <w:pPr>
              <w:keepNext/>
              <w:jc w:val="center"/>
            </w:pPr>
            <w:r/>
            <w:r>
              <w:rPr>
                <w:rFonts w:ascii="Times New Roman" w:hAnsi="Times New Roman"/>
                <w:b/>
                <w:sz w:val="18"/>
              </w:rPr>
              <w:t>seed 42</w:t>
            </w:r>
          </w:p>
        </w:tc>
        <w:tc>
          <w:tcPr>
            <w:tcW w:type="dxa" w:w="1337"/>
          </w:tcPr>
          <w:p>
            <w:pPr>
              <w:keepNext/>
              <w:jc w:val="center"/>
            </w:pPr>
            <w:r/>
            <w:r>
              <w:rPr>
                <w:rFonts w:ascii="Times New Roman" w:hAnsi="Times New Roman"/>
                <w:b/>
                <w:sz w:val="18"/>
              </w:rPr>
              <w:t>seed 1</w:t>
            </w:r>
          </w:p>
        </w:tc>
        <w:tc>
          <w:tcPr>
            <w:tcW w:type="dxa" w:w="1337"/>
          </w:tcPr>
          <w:p>
            <w:pPr>
              <w:keepNext/>
              <w:jc w:val="center"/>
            </w:pPr>
            <w:r/>
            <w:r>
              <w:rPr>
                <w:rFonts w:ascii="Times New Roman" w:hAnsi="Times New Roman"/>
                <w:b/>
                <w:sz w:val="18"/>
              </w:rPr>
              <w:t>seed 2</w:t>
            </w:r>
          </w:p>
        </w:tc>
        <w:tc>
          <w:tcPr>
            <w:tcW w:type="dxa" w:w="1337"/>
          </w:tcPr>
          <w:p>
            <w:pPr>
              <w:keepNext/>
              <w:jc w:val="center"/>
            </w:pPr>
            <w:r/>
            <w:r>
              <w:rPr>
                <w:rFonts w:ascii="Times New Roman" w:hAnsi="Times New Roman"/>
                <w:b/>
                <w:sz w:val="18"/>
              </w:rPr>
              <w:t>Mean</w:t>
            </w:r>
          </w:p>
        </w:tc>
        <w:tc>
          <w:tcPr>
            <w:tcW w:type="dxa" w:w="1337"/>
          </w:tcPr>
          <w:p>
            <w:pPr>
              <w:keepNext/>
              <w:jc w:val="center"/>
            </w:pPr>
            <w:r/>
            <w:r>
              <w:rPr>
                <w:rFonts w:ascii="Times New Roman" w:hAnsi="Times New Roman"/>
                <w:b/>
                <w:sz w:val="18"/>
              </w:rPr>
              <w:t>SD</w:t>
            </w:r>
          </w:p>
        </w:tc>
        <w:tc>
          <w:tcPr>
            <w:tcW w:type="dxa" w:w="1337"/>
          </w:tcPr>
          <w:p>
            <w:pPr>
              <w:keepNext/>
              <w:jc w:val="center"/>
            </w:pPr>
            <w:r/>
            <w:r>
              <w:rPr>
                <w:rFonts w:ascii="Times New Roman" w:hAnsi="Times New Roman"/>
                <w:b/>
                <w:sz w:val="18"/>
              </w:rPr>
              <w:t>Range</w:t>
            </w:r>
          </w:p>
        </w:tc>
      </w:tr>
      <w:tr>
        <w:tc>
          <w:tcPr>
            <w:tcW w:type="dxa" w:w="1337"/>
          </w:tcPr>
          <w:p>
            <w:pPr>
              <w:keepNext/>
              <w:jc w:val="left"/>
            </w:pPr>
            <w:r>
              <w:rPr>
                <w:rFonts w:ascii="Times New Roman" w:hAnsi="Times New Roman"/>
                <w:sz w:val="18"/>
              </w:rPr>
            </w:r>
            <w:r>
              <w:rPr>
                <w:rFonts w:ascii="Times New Roman" w:hAnsi="Times New Roman"/>
                <w:b w:val="0"/>
                <w:sz w:val="18"/>
              </w:rPr>
              <w:t>ResNet18 macro F1</w:t>
            </w:r>
          </w:p>
        </w:tc>
        <w:tc>
          <w:tcPr>
            <w:tcW w:type="dxa" w:w="1337"/>
          </w:tcPr>
          <w:p>
            <w:pPr>
              <w:keepNext/>
              <w:jc w:val="center"/>
            </w:pPr>
            <w:r>
              <w:rPr>
                <w:rFonts w:ascii="Times New Roman" w:hAnsi="Times New Roman"/>
                <w:sz w:val="18"/>
              </w:rPr>
            </w:r>
            <w:r>
              <w:rPr>
                <w:rFonts w:ascii="Times New Roman" w:hAnsi="Times New Roman"/>
                <w:b w:val="0"/>
                <w:sz w:val="18"/>
              </w:rPr>
              <w:t>0.9587</w:t>
            </w:r>
          </w:p>
        </w:tc>
        <w:tc>
          <w:tcPr>
            <w:tcW w:type="dxa" w:w="1337"/>
          </w:tcPr>
          <w:p>
            <w:pPr>
              <w:keepNext/>
              <w:jc w:val="center"/>
            </w:pPr>
            <w:r>
              <w:rPr>
                <w:rFonts w:ascii="Times New Roman" w:hAnsi="Times New Roman"/>
                <w:sz w:val="18"/>
              </w:rPr>
            </w:r>
            <w:r>
              <w:rPr>
                <w:rFonts w:ascii="Times New Roman" w:hAnsi="Times New Roman"/>
                <w:b w:val="0"/>
                <w:sz w:val="18"/>
              </w:rPr>
              <w:t>0.9570</w:t>
            </w:r>
          </w:p>
        </w:tc>
        <w:tc>
          <w:tcPr>
            <w:tcW w:type="dxa" w:w="1337"/>
          </w:tcPr>
          <w:p>
            <w:pPr>
              <w:keepNext/>
              <w:jc w:val="center"/>
            </w:pPr>
            <w:r>
              <w:rPr>
                <w:rFonts w:ascii="Times New Roman" w:hAnsi="Times New Roman"/>
                <w:sz w:val="18"/>
              </w:rPr>
            </w:r>
            <w:r>
              <w:rPr>
                <w:rFonts w:ascii="Times New Roman" w:hAnsi="Times New Roman"/>
                <w:b w:val="0"/>
                <w:sz w:val="18"/>
              </w:rPr>
              <w:t>0.9556</w:t>
            </w:r>
          </w:p>
        </w:tc>
        <w:tc>
          <w:tcPr>
            <w:tcW w:type="dxa" w:w="1337"/>
          </w:tcPr>
          <w:p>
            <w:pPr>
              <w:keepNext/>
              <w:jc w:val="center"/>
            </w:pPr>
            <w:r>
              <w:rPr>
                <w:rFonts w:ascii="Times New Roman" w:hAnsi="Times New Roman"/>
                <w:sz w:val="18"/>
              </w:rPr>
            </w:r>
            <w:r>
              <w:rPr>
                <w:rFonts w:ascii="Times New Roman" w:hAnsi="Times New Roman"/>
                <w:b/>
                <w:sz w:val="18"/>
              </w:rPr>
              <w:t>0.9571</w:t>
            </w:r>
          </w:p>
        </w:tc>
        <w:tc>
          <w:tcPr>
            <w:tcW w:type="dxa" w:w="1337"/>
          </w:tcPr>
          <w:p>
            <w:pPr>
              <w:keepNext/>
              <w:jc w:val="center"/>
            </w:pPr>
            <w:r>
              <w:rPr>
                <w:rFonts w:ascii="Times New Roman" w:hAnsi="Times New Roman"/>
                <w:sz w:val="18"/>
              </w:rPr>
            </w:r>
            <w:r>
              <w:rPr>
                <w:rFonts w:ascii="Times New Roman" w:hAnsi="Times New Roman"/>
                <w:b w:val="0"/>
                <w:sz w:val="18"/>
              </w:rPr>
              <w:t>0.0016</w:t>
            </w:r>
          </w:p>
        </w:tc>
        <w:tc>
          <w:tcPr>
            <w:tcW w:type="dxa" w:w="1337"/>
          </w:tcPr>
          <w:p>
            <w:pPr>
              <w:keepNext/>
              <w:jc w:val="center"/>
            </w:pPr>
            <w:r>
              <w:rPr>
                <w:rFonts w:ascii="Times New Roman" w:hAnsi="Times New Roman"/>
                <w:sz w:val="18"/>
              </w:rPr>
            </w:r>
            <w:r>
              <w:rPr>
                <w:rFonts w:ascii="Times New Roman" w:hAnsi="Times New Roman"/>
                <w:b w:val="0"/>
                <w:sz w:val="18"/>
              </w:rPr>
              <w:t>0.0031</w:t>
            </w:r>
          </w:p>
        </w:tc>
      </w:tr>
      <w:tr>
        <w:tc>
          <w:tcPr>
            <w:tcW w:type="dxa" w:w="1337"/>
          </w:tcPr>
          <w:p>
            <w:pPr>
              <w:keepNext/>
              <w:jc w:val="left"/>
            </w:pPr>
            <w:r>
              <w:rPr>
                <w:rFonts w:ascii="Times New Roman" w:hAnsi="Times New Roman"/>
                <w:sz w:val="18"/>
              </w:rPr>
            </w:r>
            <w:r>
              <w:rPr>
                <w:rFonts w:ascii="Times New Roman" w:hAnsi="Times New Roman"/>
                <w:b w:val="0"/>
                <w:sz w:val="18"/>
              </w:rPr>
              <w:t>ResNet50 macro F1</w:t>
            </w:r>
          </w:p>
        </w:tc>
        <w:tc>
          <w:tcPr>
            <w:tcW w:type="dxa" w:w="1337"/>
          </w:tcPr>
          <w:p>
            <w:pPr>
              <w:keepNext/>
              <w:jc w:val="center"/>
            </w:pPr>
            <w:r>
              <w:rPr>
                <w:rFonts w:ascii="Times New Roman" w:hAnsi="Times New Roman"/>
                <w:sz w:val="18"/>
              </w:rPr>
            </w:r>
            <w:r>
              <w:rPr>
                <w:rFonts w:ascii="Times New Roman" w:hAnsi="Times New Roman"/>
                <w:b w:val="0"/>
                <w:sz w:val="18"/>
              </w:rPr>
              <w:t>0.9576</w:t>
            </w:r>
          </w:p>
        </w:tc>
        <w:tc>
          <w:tcPr>
            <w:tcW w:type="dxa" w:w="1337"/>
          </w:tcPr>
          <w:p>
            <w:pPr>
              <w:keepNext/>
              <w:jc w:val="center"/>
            </w:pPr>
            <w:r>
              <w:rPr>
                <w:rFonts w:ascii="Times New Roman" w:hAnsi="Times New Roman"/>
                <w:sz w:val="18"/>
              </w:rPr>
            </w:r>
            <w:r>
              <w:rPr>
                <w:rFonts w:ascii="Times New Roman" w:hAnsi="Times New Roman"/>
                <w:b w:val="0"/>
                <w:sz w:val="18"/>
              </w:rPr>
              <w:t>0.9510</w:t>
            </w:r>
          </w:p>
        </w:tc>
        <w:tc>
          <w:tcPr>
            <w:tcW w:type="dxa" w:w="1337"/>
          </w:tcPr>
          <w:p>
            <w:pPr>
              <w:keepNext/>
              <w:jc w:val="center"/>
            </w:pPr>
            <w:r>
              <w:rPr>
                <w:rFonts w:ascii="Times New Roman" w:hAnsi="Times New Roman"/>
                <w:sz w:val="18"/>
              </w:rPr>
            </w:r>
            <w:r>
              <w:rPr>
                <w:rFonts w:ascii="Times New Roman" w:hAnsi="Times New Roman"/>
                <w:b w:val="0"/>
                <w:sz w:val="18"/>
              </w:rPr>
              <w:t>0.9558</w:t>
            </w:r>
          </w:p>
        </w:tc>
        <w:tc>
          <w:tcPr>
            <w:tcW w:type="dxa" w:w="1337"/>
          </w:tcPr>
          <w:p>
            <w:pPr>
              <w:keepNext/>
              <w:jc w:val="center"/>
            </w:pPr>
            <w:r>
              <w:rPr>
                <w:rFonts w:ascii="Times New Roman" w:hAnsi="Times New Roman"/>
                <w:sz w:val="18"/>
              </w:rPr>
            </w:r>
            <w:r>
              <w:rPr>
                <w:rFonts w:ascii="Times New Roman" w:hAnsi="Times New Roman"/>
                <w:b/>
                <w:sz w:val="18"/>
              </w:rPr>
              <w:t>0.9548</w:t>
            </w:r>
          </w:p>
        </w:tc>
        <w:tc>
          <w:tcPr>
            <w:tcW w:type="dxa" w:w="1337"/>
          </w:tcPr>
          <w:p>
            <w:pPr>
              <w:keepNext/>
              <w:jc w:val="center"/>
            </w:pPr>
            <w:r>
              <w:rPr>
                <w:rFonts w:ascii="Times New Roman" w:hAnsi="Times New Roman"/>
                <w:sz w:val="18"/>
              </w:rPr>
            </w:r>
            <w:r>
              <w:rPr>
                <w:rFonts w:ascii="Times New Roman" w:hAnsi="Times New Roman"/>
                <w:b w:val="0"/>
                <w:sz w:val="18"/>
              </w:rPr>
              <w:t>0.0034</w:t>
            </w:r>
          </w:p>
        </w:tc>
        <w:tc>
          <w:tcPr>
            <w:tcW w:type="dxa" w:w="1337"/>
          </w:tcPr>
          <w:p>
            <w:pPr>
              <w:keepNext/>
              <w:jc w:val="center"/>
            </w:pPr>
            <w:r>
              <w:rPr>
                <w:rFonts w:ascii="Times New Roman" w:hAnsi="Times New Roman"/>
                <w:sz w:val="18"/>
              </w:rPr>
            </w:r>
            <w:r>
              <w:rPr>
                <w:rFonts w:ascii="Times New Roman" w:hAnsi="Times New Roman"/>
                <w:b w:val="0"/>
                <w:sz w:val="18"/>
              </w:rPr>
              <w:t>0.0065</w:t>
            </w:r>
          </w:p>
        </w:tc>
      </w:tr>
      <w:tr>
        <w:tc>
          <w:tcPr>
            <w:tcW w:type="dxa" w:w="1337"/>
          </w:tcPr>
          <w:p>
            <w:pPr>
              <w:keepNext/>
              <w:jc w:val="left"/>
            </w:pPr>
            <w:r>
              <w:rPr>
                <w:rFonts w:ascii="Times New Roman" w:hAnsi="Times New Roman"/>
                <w:sz w:val="18"/>
              </w:rPr>
            </w:r>
            <w:r>
              <w:rPr>
                <w:rFonts w:ascii="Times New Roman" w:hAnsi="Times New Roman"/>
                <w:b w:val="0"/>
                <w:sz w:val="18"/>
              </w:rPr>
              <w:t>ResNet18 macro AUC</w:t>
            </w:r>
          </w:p>
        </w:tc>
        <w:tc>
          <w:tcPr>
            <w:tcW w:type="dxa" w:w="1337"/>
          </w:tcPr>
          <w:p>
            <w:pPr>
              <w:keepNext/>
              <w:jc w:val="center"/>
            </w:pPr>
            <w:r>
              <w:rPr>
                <w:rFonts w:ascii="Times New Roman" w:hAnsi="Times New Roman"/>
                <w:sz w:val="18"/>
              </w:rPr>
            </w:r>
            <w:r>
              <w:rPr>
                <w:rFonts w:ascii="Times New Roman" w:hAnsi="Times New Roman"/>
                <w:b w:val="0"/>
                <w:sz w:val="18"/>
              </w:rPr>
              <w:t>0.9928</w:t>
            </w:r>
          </w:p>
        </w:tc>
        <w:tc>
          <w:tcPr>
            <w:tcW w:type="dxa" w:w="1337"/>
          </w:tcPr>
          <w:p>
            <w:pPr>
              <w:keepNext/>
              <w:jc w:val="center"/>
            </w:pPr>
            <w:r>
              <w:rPr>
                <w:rFonts w:ascii="Times New Roman" w:hAnsi="Times New Roman"/>
                <w:sz w:val="18"/>
              </w:rPr>
            </w:r>
            <w:r>
              <w:rPr>
                <w:rFonts w:ascii="Times New Roman" w:hAnsi="Times New Roman"/>
                <w:b w:val="0"/>
                <w:sz w:val="18"/>
              </w:rPr>
              <w:t>0.9926</w:t>
            </w:r>
          </w:p>
        </w:tc>
        <w:tc>
          <w:tcPr>
            <w:tcW w:type="dxa" w:w="1337"/>
          </w:tcPr>
          <w:p>
            <w:pPr>
              <w:keepNext/>
              <w:jc w:val="center"/>
            </w:pPr>
            <w:r>
              <w:rPr>
                <w:rFonts w:ascii="Times New Roman" w:hAnsi="Times New Roman"/>
                <w:sz w:val="18"/>
              </w:rPr>
            </w:r>
            <w:r>
              <w:rPr>
                <w:rFonts w:ascii="Times New Roman" w:hAnsi="Times New Roman"/>
                <w:b w:val="0"/>
                <w:sz w:val="18"/>
              </w:rPr>
              <w:t>0.9919</w:t>
            </w:r>
          </w:p>
        </w:tc>
        <w:tc>
          <w:tcPr>
            <w:tcW w:type="dxa" w:w="1337"/>
          </w:tcPr>
          <w:p>
            <w:pPr>
              <w:keepNext/>
              <w:jc w:val="center"/>
            </w:pPr>
            <w:r>
              <w:rPr>
                <w:rFonts w:ascii="Times New Roman" w:hAnsi="Times New Roman"/>
                <w:sz w:val="18"/>
              </w:rPr>
            </w:r>
            <w:r>
              <w:rPr>
                <w:rFonts w:ascii="Times New Roman" w:hAnsi="Times New Roman"/>
                <w:b w:val="0"/>
                <w:sz w:val="18"/>
              </w:rPr>
              <w:t>0.9924</w:t>
            </w:r>
          </w:p>
        </w:tc>
        <w:tc>
          <w:tcPr>
            <w:tcW w:type="dxa" w:w="1337"/>
          </w:tcPr>
          <w:p>
            <w:pPr>
              <w:keepNext/>
              <w:jc w:val="center"/>
            </w:pPr>
            <w:r>
              <w:rPr>
                <w:rFonts w:ascii="Times New Roman" w:hAnsi="Times New Roman"/>
                <w:sz w:val="18"/>
              </w:rPr>
            </w:r>
            <w:r>
              <w:rPr>
                <w:rFonts w:ascii="Times New Roman" w:hAnsi="Times New Roman"/>
                <w:b w:val="0"/>
                <w:sz w:val="18"/>
              </w:rPr>
              <w:t>—</w:t>
            </w:r>
          </w:p>
        </w:tc>
        <w:tc>
          <w:tcPr>
            <w:tcW w:type="dxa" w:w="1337"/>
          </w:tcPr>
          <w:p>
            <w:pPr>
              <w:keepNext/>
              <w:jc w:val="center"/>
            </w:pPr>
            <w:r>
              <w:rPr>
                <w:rFonts w:ascii="Times New Roman" w:hAnsi="Times New Roman"/>
                <w:sz w:val="18"/>
              </w:rPr>
            </w:r>
            <w:r>
              <w:rPr>
                <w:rFonts w:ascii="Times New Roman" w:hAnsi="Times New Roman"/>
                <w:b w:val="0"/>
                <w:sz w:val="18"/>
              </w:rPr>
              <w:t>—</w:t>
            </w:r>
          </w:p>
        </w:tc>
      </w:tr>
      <w:tr>
        <w:tc>
          <w:tcPr>
            <w:tcW w:type="dxa" w:w="1337"/>
          </w:tcPr>
          <w:p>
            <w:pPr>
              <w:keepNext/>
              <w:jc w:val="left"/>
            </w:pPr>
            <w:r>
              <w:rPr>
                <w:rFonts w:ascii="Times New Roman" w:hAnsi="Times New Roman"/>
                <w:sz w:val="18"/>
              </w:rPr>
            </w:r>
            <w:r>
              <w:rPr>
                <w:rFonts w:ascii="Times New Roman" w:hAnsi="Times New Roman"/>
                <w:b w:val="0"/>
                <w:sz w:val="18"/>
              </w:rPr>
              <w:t>ResNet50 macro AUC</w:t>
            </w:r>
          </w:p>
        </w:tc>
        <w:tc>
          <w:tcPr>
            <w:tcW w:type="dxa" w:w="1337"/>
          </w:tcPr>
          <w:p>
            <w:pPr>
              <w:keepNext/>
              <w:jc w:val="center"/>
            </w:pPr>
            <w:r>
              <w:rPr>
                <w:rFonts w:ascii="Times New Roman" w:hAnsi="Times New Roman"/>
                <w:sz w:val="18"/>
              </w:rPr>
            </w:r>
            <w:r>
              <w:rPr>
                <w:rFonts w:ascii="Times New Roman" w:hAnsi="Times New Roman"/>
                <w:b w:val="0"/>
                <w:sz w:val="18"/>
              </w:rPr>
              <w:t>0.9937</w:t>
            </w:r>
          </w:p>
        </w:tc>
        <w:tc>
          <w:tcPr>
            <w:tcW w:type="dxa" w:w="1337"/>
          </w:tcPr>
          <w:p>
            <w:pPr>
              <w:keepNext/>
              <w:jc w:val="center"/>
            </w:pPr>
            <w:r>
              <w:rPr>
                <w:rFonts w:ascii="Times New Roman" w:hAnsi="Times New Roman"/>
                <w:sz w:val="18"/>
              </w:rPr>
            </w:r>
            <w:r>
              <w:rPr>
                <w:rFonts w:ascii="Times New Roman" w:hAnsi="Times New Roman"/>
                <w:b w:val="0"/>
                <w:sz w:val="18"/>
              </w:rPr>
              <w:t>0.9930</w:t>
            </w:r>
          </w:p>
        </w:tc>
        <w:tc>
          <w:tcPr>
            <w:tcW w:type="dxa" w:w="1337"/>
          </w:tcPr>
          <w:p>
            <w:pPr>
              <w:keepNext/>
              <w:jc w:val="center"/>
            </w:pPr>
            <w:r>
              <w:rPr>
                <w:rFonts w:ascii="Times New Roman" w:hAnsi="Times New Roman"/>
                <w:sz w:val="18"/>
              </w:rPr>
            </w:r>
            <w:r>
              <w:rPr>
                <w:rFonts w:ascii="Times New Roman" w:hAnsi="Times New Roman"/>
                <w:b w:val="0"/>
                <w:sz w:val="18"/>
              </w:rPr>
              <w:t>0.9934</w:t>
            </w:r>
          </w:p>
        </w:tc>
        <w:tc>
          <w:tcPr>
            <w:tcW w:type="dxa" w:w="1337"/>
          </w:tcPr>
          <w:p>
            <w:pPr>
              <w:keepNext/>
              <w:jc w:val="center"/>
            </w:pPr>
            <w:r>
              <w:rPr>
                <w:rFonts w:ascii="Times New Roman" w:hAnsi="Times New Roman"/>
                <w:sz w:val="18"/>
              </w:rPr>
            </w:r>
            <w:r>
              <w:rPr>
                <w:rFonts w:ascii="Times New Roman" w:hAnsi="Times New Roman"/>
                <w:b/>
                <w:sz w:val="18"/>
              </w:rPr>
              <w:t>0.9933</w:t>
            </w:r>
          </w:p>
        </w:tc>
        <w:tc>
          <w:tcPr>
            <w:tcW w:type="dxa" w:w="1337"/>
          </w:tcPr>
          <w:p>
            <w:pPr>
              <w:keepNext/>
              <w:jc w:val="center"/>
            </w:pPr>
            <w:r>
              <w:rPr>
                <w:rFonts w:ascii="Times New Roman" w:hAnsi="Times New Roman"/>
                <w:sz w:val="18"/>
              </w:rPr>
            </w:r>
            <w:r>
              <w:rPr>
                <w:rFonts w:ascii="Times New Roman" w:hAnsi="Times New Roman"/>
                <w:b w:val="0"/>
                <w:sz w:val="18"/>
              </w:rPr>
              <w:t>—</w:t>
            </w:r>
          </w:p>
        </w:tc>
        <w:tc>
          <w:tcPr>
            <w:tcW w:type="dxa" w:w="1337"/>
          </w:tcPr>
          <w:p>
            <w:pPr>
              <w:keepNext/>
              <w:jc w:val="center"/>
            </w:pPr>
            <w:r>
              <w:rPr>
                <w:rFonts w:ascii="Times New Roman" w:hAnsi="Times New Roman"/>
                <w:sz w:val="18"/>
              </w:rPr>
            </w:r>
            <w:r>
              <w:rPr>
                <w:rFonts w:ascii="Times New Roman" w:hAnsi="Times New Roman"/>
                <w:b w:val="0"/>
                <w:sz w:val="18"/>
              </w:rPr>
              <w:t>—</w:t>
            </w:r>
          </w:p>
        </w:tc>
      </w:tr>
    </w:tbl>
    <w:p>
      <w:pPr>
        <w:spacing w:before="60" w:after="200"/>
        <w:jc w:val="left"/>
      </w:pPr>
      <w:r>
        <w:rPr>
          <w:b w:val="0"/>
          <w:i/>
          <w:sz w:val="18"/>
        </w:rPr>
        <w:t>Table 4. Three seeds per backbone, test split.</w:t>
      </w:r>
    </w:p>
    <w:p>
      <w:r>
        <w:rPr>
          <w:b/>
        </w:rPr>
        <w:t>The capacity difference is not distinguishable from seed noise.</w:t>
      </w:r>
      <w:r>
        <w:rPr>
          <w:b w:val="0"/>
        </w:rPr>
        <w:t xml:space="preserve"> The means differ by −0.0023 macro F1 against a pooled standard deviation of 0.0025, an effect of 0.93 standard deviations, and the two ranges overlap substantially ([0.9556, 0.9587] against [0.9510, 0.9576]). With three runs per arm this is nowhere near separation. For scale, the lung-masking ablation of Section 4.5 moves macro F1 by 0.0246 — an order of magnitude larger than either the backbone difference or the noise it sits in.</w:t>
      </w:r>
    </w:p>
    <w:p>
      <w:r>
        <w:rPr>
          <w:b/>
        </w:rPr>
        <w:t>This is why the study was necessary rather than tidy.</w:t>
      </w:r>
      <w:r>
        <w:rPr>
          <w:b w:val="0"/>
        </w:rPr>
        <w:t xml:space="preserve"> Comparing the two seed-42 runs alone gives −0.0011, less than half the difference between the means, because that particular ResNet18 run is the best of its three and that particular ResNet50 run the best of its three. A single-run comparison here would have reported a number out by a factor of two, and depending on which pair of runs happened to be trained, could have reported either sign. We note this because single-run backbone comparisons are common, and on this task the run-to-run spread exceeds the effect being compared.</w:t>
      </w:r>
    </w:p>
    <w:p>
      <w:r>
        <w:rPr>
          <w:b/>
        </w:rPr>
        <w:t>ResNet50 is markedly less stable.</w:t>
      </w:r>
      <w:r>
        <w:rPr>
          <w:b w:val="0"/>
        </w:rPr>
        <w:t xml:space="preserve"> Its standard deviation is 0.0034 against ResNet18’s 0.0016 and its range is twice as wide. The larger model is not merely no better here; it is more dependent on initialisation, which is the opposite of what additional capacity is usually expected to buy.</w:t>
      </w:r>
    </w:p>
    <w:p>
      <w:r>
        <w:rPr>
          <w:b/>
        </w:rPr>
        <w:t>One difference does survive, and it is in AUC rather than F1.</w:t>
      </w:r>
      <w:r>
        <w:rPr>
          <w:b w:val="0"/>
        </w:rPr>
        <w:t xml:space="preserve"> Every ResNet50 run scores a higher macro AUC than every ResNet18 run — the ranges do not overlap at all, 0.9930–0.9937 against 0.9919–0.9928 — while macro F1 shows no such separation. The larger model ranks the classes more reliably and converts that ranking into decisions no better, and less consistently. This is the same dissociation that appears in Section 4.5, where masking costs eight times more macro F1 than macro AUC, and in Section 4.3, where the two fidelity metrics rank the backbones oppositely: on this data, what separates the classes and what places the decision boundary come apart repeatedly.</w:t>
      </w:r>
    </w:p>
    <w:p>
      <w:r>
        <w:rPr>
          <w:b w:val="0"/>
        </w:rPr>
        <w:t xml:space="preserve">The conventional reading of a flat capacity curve is that the task saturates. A second reading is available given Section 4.5 and we consider it better supported: </w:t>
      </w:r>
      <w:r>
        <w:rPr>
          <w:b/>
        </w:rPr>
        <w:t>if a substantial part of the achievable score is obtainable from acquisition signature, the smaller network has already extracted it and additional capacity has nothing left to buy.</w:t>
      </w:r>
      <w:r>
        <w:rPr>
          <w:b w:val="0"/>
        </w:rPr>
        <w:t xml:space="preserve"> Under this interpretation the flatness is a property of the dataset rather than the task, and would not be expected to hold where provenance and label are decorrelated. We report the comparison chiefly as a caution: a negative capacity ablation is frequently presented as evidence that a small model suffices; here it is at least equally consistent with the conclusion that neither model is doing what the class names suggest.</w:t>
      </w:r>
    </w:p>
    <w:p>
      <w:pPr>
        <w:pStyle w:val="Heading2"/>
        <w:jc w:val="left"/>
      </w:pPr>
      <w:r>
        <w:t>4.3 Explanation Fidelity</w:t>
      </w:r>
    </w:p>
    <w:p>
      <w:r>
        <w:rPr>
          <w:b w:val="0"/>
        </w:rPr>
        <w:t xml:space="preserve">Measured over 200 test images drawn at random from the split (33 COVID19, 48 LUNG_OPACITY, 102 NORMAL, 17 PNEUMONIA). Both backbones are scored on </w:t>
      </w:r>
      <w:r>
        <w:rPr>
          <w:b/>
        </w:rPr>
        <w:t>the identical 200 images under the identical random control orderings</w:t>
      </w:r>
      <w:r>
        <w:rPr>
          <w:b w:val="0"/>
        </w:rPr>
        <w:t>, the sampling and the controls being drawn from a seeded generator, so differences below are attributable to the models alone.</w:t>
      </w:r>
    </w:p>
    <w:tbl>
      <w:tblPr>
        <w:tblStyle w:val="TableGrid"/>
        <w:tblW w:type="auto" w:w="0"/>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tcPr>
          <w:p>
            <w:pPr>
              <w:keepNext/>
              <w:jc w:val="center"/>
            </w:pPr>
            <w:r/>
            <w:r>
              <w:rPr>
                <w:rFonts w:ascii="Times New Roman" w:hAnsi="Times New Roman"/>
                <w:b/>
                <w:sz w:val="18"/>
              </w:rPr>
              <w:t>Metric</w:t>
            </w:r>
          </w:p>
        </w:tc>
        <w:tc>
          <w:tcPr>
            <w:tcW w:type="dxa" w:w="1337"/>
          </w:tcPr>
          <w:p>
            <w:pPr>
              <w:keepNext/>
              <w:jc w:val="center"/>
            </w:pPr>
            <w:r/>
            <w:r>
              <w:rPr>
                <w:rFonts w:ascii="Times New Roman" w:hAnsi="Times New Roman"/>
                <w:b/>
                <w:sz w:val="18"/>
              </w:rPr>
              <w:t>R18 Grad-CAM</w:t>
            </w:r>
          </w:p>
        </w:tc>
        <w:tc>
          <w:tcPr>
            <w:tcW w:type="dxa" w:w="1337"/>
          </w:tcPr>
          <w:p>
            <w:pPr>
              <w:keepNext/>
              <w:jc w:val="center"/>
            </w:pPr>
            <w:r/>
            <w:r>
              <w:rPr>
                <w:rFonts w:ascii="Times New Roman" w:hAnsi="Times New Roman"/>
                <w:b/>
                <w:sz w:val="18"/>
              </w:rPr>
              <w:t>R18 random</w:t>
            </w:r>
          </w:p>
        </w:tc>
        <w:tc>
          <w:tcPr>
            <w:tcW w:type="dxa" w:w="1337"/>
          </w:tcPr>
          <w:p>
            <w:pPr>
              <w:keepNext/>
              <w:jc w:val="center"/>
            </w:pPr>
            <w:r/>
            <w:r>
              <w:rPr>
                <w:rFonts w:ascii="Times New Roman" w:hAnsi="Times New Roman"/>
                <w:b/>
                <w:sz w:val="18"/>
              </w:rPr>
              <w:t>R18 gap</w:t>
            </w:r>
          </w:p>
        </w:tc>
        <w:tc>
          <w:tcPr>
            <w:tcW w:type="dxa" w:w="1337"/>
          </w:tcPr>
          <w:p>
            <w:pPr>
              <w:keepNext/>
              <w:jc w:val="center"/>
            </w:pPr>
            <w:r/>
            <w:r>
              <w:rPr>
                <w:rFonts w:ascii="Times New Roman" w:hAnsi="Times New Roman"/>
                <w:b/>
                <w:sz w:val="18"/>
              </w:rPr>
              <w:t>R50 Grad-CAM</w:t>
            </w:r>
          </w:p>
        </w:tc>
        <w:tc>
          <w:tcPr>
            <w:tcW w:type="dxa" w:w="1337"/>
          </w:tcPr>
          <w:p>
            <w:pPr>
              <w:keepNext/>
              <w:jc w:val="center"/>
            </w:pPr>
            <w:r/>
            <w:r>
              <w:rPr>
                <w:rFonts w:ascii="Times New Roman" w:hAnsi="Times New Roman"/>
                <w:b/>
                <w:sz w:val="18"/>
              </w:rPr>
              <w:t>R50 random</w:t>
            </w:r>
          </w:p>
        </w:tc>
        <w:tc>
          <w:tcPr>
            <w:tcW w:type="dxa" w:w="1337"/>
          </w:tcPr>
          <w:p>
            <w:pPr>
              <w:keepNext/>
              <w:jc w:val="center"/>
            </w:pPr>
            <w:r/>
            <w:r>
              <w:rPr>
                <w:rFonts w:ascii="Times New Roman" w:hAnsi="Times New Roman"/>
                <w:b/>
                <w:sz w:val="18"/>
              </w:rPr>
              <w:t>R50 gap</w:t>
            </w:r>
          </w:p>
        </w:tc>
      </w:tr>
      <w:tr>
        <w:tc>
          <w:tcPr>
            <w:tcW w:type="dxa" w:w="1337"/>
          </w:tcPr>
          <w:p>
            <w:pPr>
              <w:keepNext/>
              <w:jc w:val="left"/>
            </w:pPr>
            <w:r>
              <w:rPr>
                <w:rFonts w:ascii="Times New Roman" w:hAnsi="Times New Roman"/>
                <w:sz w:val="18"/>
              </w:rPr>
            </w:r>
            <w:r>
              <w:rPr>
                <w:rFonts w:ascii="Times New Roman" w:hAnsi="Times New Roman"/>
                <w:b w:val="0"/>
                <w:sz w:val="18"/>
              </w:rPr>
              <w:t>Deletion AUC (lower better)</w:t>
            </w:r>
          </w:p>
        </w:tc>
        <w:tc>
          <w:tcPr>
            <w:tcW w:type="dxa" w:w="1337"/>
          </w:tcPr>
          <w:p>
            <w:pPr>
              <w:keepNext/>
              <w:jc w:val="center"/>
            </w:pPr>
            <w:r>
              <w:rPr>
                <w:rFonts w:ascii="Times New Roman" w:hAnsi="Times New Roman"/>
                <w:sz w:val="18"/>
              </w:rPr>
            </w:r>
            <w:r>
              <w:rPr>
                <w:rFonts w:ascii="Times New Roman" w:hAnsi="Times New Roman"/>
                <w:b w:val="0"/>
                <w:sz w:val="18"/>
              </w:rPr>
              <w:t>0.4503</w:t>
            </w:r>
          </w:p>
        </w:tc>
        <w:tc>
          <w:tcPr>
            <w:tcW w:type="dxa" w:w="1337"/>
          </w:tcPr>
          <w:p>
            <w:pPr>
              <w:keepNext/>
              <w:jc w:val="center"/>
            </w:pPr>
            <w:r>
              <w:rPr>
                <w:rFonts w:ascii="Times New Roman" w:hAnsi="Times New Roman"/>
                <w:sz w:val="18"/>
              </w:rPr>
            </w:r>
            <w:r>
              <w:rPr>
                <w:rFonts w:ascii="Times New Roman" w:hAnsi="Times New Roman"/>
                <w:b w:val="0"/>
                <w:sz w:val="18"/>
              </w:rPr>
              <w:t>0.4400</w:t>
            </w:r>
          </w:p>
        </w:tc>
        <w:tc>
          <w:tcPr>
            <w:tcW w:type="dxa" w:w="1337"/>
          </w:tcPr>
          <w:p>
            <w:pPr>
              <w:keepNext/>
              <w:jc w:val="center"/>
            </w:pPr>
            <w:r>
              <w:rPr>
                <w:rFonts w:ascii="Times New Roman" w:hAnsi="Times New Roman"/>
                <w:sz w:val="18"/>
              </w:rPr>
            </w:r>
            <w:r>
              <w:rPr>
                <w:rFonts w:ascii="Times New Roman" w:hAnsi="Times New Roman"/>
                <w:b w:val="0"/>
                <w:sz w:val="18"/>
              </w:rPr>
              <w:t>+0.0103</w:t>
            </w:r>
          </w:p>
        </w:tc>
        <w:tc>
          <w:tcPr>
            <w:tcW w:type="dxa" w:w="1337"/>
          </w:tcPr>
          <w:p>
            <w:pPr>
              <w:keepNext/>
              <w:jc w:val="center"/>
            </w:pPr>
            <w:r>
              <w:rPr>
                <w:rFonts w:ascii="Times New Roman" w:hAnsi="Times New Roman"/>
                <w:sz w:val="18"/>
              </w:rPr>
            </w:r>
            <w:r>
              <w:rPr>
                <w:rFonts w:ascii="Times New Roman" w:hAnsi="Times New Roman"/>
                <w:b w:val="0"/>
                <w:sz w:val="18"/>
              </w:rPr>
              <w:t>0.4282</w:t>
            </w:r>
          </w:p>
        </w:tc>
        <w:tc>
          <w:tcPr>
            <w:tcW w:type="dxa" w:w="1337"/>
          </w:tcPr>
          <w:p>
            <w:pPr>
              <w:keepNext/>
              <w:jc w:val="center"/>
            </w:pPr>
            <w:r>
              <w:rPr>
                <w:rFonts w:ascii="Times New Roman" w:hAnsi="Times New Roman"/>
                <w:sz w:val="18"/>
              </w:rPr>
            </w:r>
            <w:r>
              <w:rPr>
                <w:rFonts w:ascii="Times New Roman" w:hAnsi="Times New Roman"/>
                <w:b w:val="0"/>
                <w:sz w:val="18"/>
              </w:rPr>
              <w:t>0.2738</w:t>
            </w:r>
          </w:p>
        </w:tc>
        <w:tc>
          <w:tcPr>
            <w:tcW w:type="dxa" w:w="1337"/>
          </w:tcPr>
          <w:p>
            <w:pPr>
              <w:keepNext/>
              <w:jc w:val="center"/>
            </w:pPr>
            <w:r>
              <w:rPr>
                <w:rFonts w:ascii="Times New Roman" w:hAnsi="Times New Roman"/>
                <w:sz w:val="18"/>
              </w:rPr>
            </w:r>
            <w:r>
              <w:rPr>
                <w:rFonts w:ascii="Times New Roman" w:hAnsi="Times New Roman"/>
                <w:b/>
                <w:sz w:val="18"/>
              </w:rPr>
              <w:t>+0.1543</w:t>
            </w:r>
          </w:p>
        </w:tc>
      </w:tr>
      <w:tr>
        <w:tc>
          <w:tcPr>
            <w:tcW w:type="dxa" w:w="1337"/>
          </w:tcPr>
          <w:p>
            <w:pPr>
              <w:keepNext/>
              <w:jc w:val="left"/>
            </w:pPr>
            <w:r>
              <w:rPr>
                <w:rFonts w:ascii="Times New Roman" w:hAnsi="Times New Roman"/>
                <w:sz w:val="18"/>
              </w:rPr>
            </w:r>
            <w:r>
              <w:rPr>
                <w:rFonts w:ascii="Times New Roman" w:hAnsi="Times New Roman"/>
                <w:b w:val="0"/>
                <w:sz w:val="18"/>
              </w:rPr>
              <w:t>Insertion AUC (higher better)</w:t>
            </w:r>
          </w:p>
        </w:tc>
        <w:tc>
          <w:tcPr>
            <w:tcW w:type="dxa" w:w="1337"/>
          </w:tcPr>
          <w:p>
            <w:pPr>
              <w:keepNext/>
              <w:jc w:val="center"/>
            </w:pPr>
            <w:r>
              <w:rPr>
                <w:rFonts w:ascii="Times New Roman" w:hAnsi="Times New Roman"/>
                <w:sz w:val="18"/>
              </w:rPr>
            </w:r>
            <w:r>
              <w:rPr>
                <w:rFonts w:ascii="Times New Roman" w:hAnsi="Times New Roman"/>
                <w:b w:val="0"/>
                <w:sz w:val="18"/>
              </w:rPr>
              <w:t>0.7764</w:t>
            </w:r>
          </w:p>
        </w:tc>
        <w:tc>
          <w:tcPr>
            <w:tcW w:type="dxa" w:w="1337"/>
          </w:tcPr>
          <w:p>
            <w:pPr>
              <w:keepNext/>
              <w:jc w:val="center"/>
            </w:pPr>
            <w:r>
              <w:rPr>
                <w:rFonts w:ascii="Times New Roman" w:hAnsi="Times New Roman"/>
                <w:sz w:val="18"/>
              </w:rPr>
            </w:r>
            <w:r>
              <w:rPr>
                <w:rFonts w:ascii="Times New Roman" w:hAnsi="Times New Roman"/>
                <w:b w:val="0"/>
                <w:sz w:val="18"/>
              </w:rPr>
              <w:t>0.4364</w:t>
            </w:r>
          </w:p>
        </w:tc>
        <w:tc>
          <w:tcPr>
            <w:tcW w:type="dxa" w:w="1337"/>
          </w:tcPr>
          <w:p>
            <w:pPr>
              <w:keepNext/>
              <w:jc w:val="center"/>
            </w:pPr>
            <w:r>
              <w:rPr>
                <w:rFonts w:ascii="Times New Roman" w:hAnsi="Times New Roman"/>
                <w:sz w:val="18"/>
              </w:rPr>
            </w:r>
            <w:r>
              <w:rPr>
                <w:rFonts w:ascii="Times New Roman" w:hAnsi="Times New Roman"/>
                <w:b w:val="0"/>
                <w:sz w:val="18"/>
              </w:rPr>
              <w:t>+0.3400</w:t>
            </w:r>
          </w:p>
        </w:tc>
        <w:tc>
          <w:tcPr>
            <w:tcW w:type="dxa" w:w="1337"/>
          </w:tcPr>
          <w:p>
            <w:pPr>
              <w:keepNext/>
              <w:jc w:val="center"/>
            </w:pPr>
            <w:r>
              <w:rPr>
                <w:rFonts w:ascii="Times New Roman" w:hAnsi="Times New Roman"/>
                <w:sz w:val="18"/>
              </w:rPr>
            </w:r>
            <w:r>
              <w:rPr>
                <w:rFonts w:ascii="Times New Roman" w:hAnsi="Times New Roman"/>
                <w:b/>
                <w:sz w:val="18"/>
              </w:rPr>
              <w:t>0.8700</w:t>
            </w:r>
          </w:p>
        </w:tc>
        <w:tc>
          <w:tcPr>
            <w:tcW w:type="dxa" w:w="1337"/>
          </w:tcPr>
          <w:p>
            <w:pPr>
              <w:keepNext/>
              <w:jc w:val="center"/>
            </w:pPr>
            <w:r>
              <w:rPr>
                <w:rFonts w:ascii="Times New Roman" w:hAnsi="Times New Roman"/>
                <w:sz w:val="18"/>
              </w:rPr>
            </w:r>
            <w:r>
              <w:rPr>
                <w:rFonts w:ascii="Times New Roman" w:hAnsi="Times New Roman"/>
                <w:b w:val="0"/>
                <w:sz w:val="18"/>
              </w:rPr>
              <w:t>0.2740</w:t>
            </w:r>
          </w:p>
        </w:tc>
        <w:tc>
          <w:tcPr>
            <w:tcW w:type="dxa" w:w="1337"/>
          </w:tcPr>
          <w:p>
            <w:pPr>
              <w:keepNext/>
              <w:jc w:val="center"/>
            </w:pPr>
            <w:r>
              <w:rPr>
                <w:rFonts w:ascii="Times New Roman" w:hAnsi="Times New Roman"/>
                <w:sz w:val="18"/>
              </w:rPr>
            </w:r>
            <w:r>
              <w:rPr>
                <w:rFonts w:ascii="Times New Roman" w:hAnsi="Times New Roman"/>
                <w:b/>
                <w:sz w:val="18"/>
              </w:rPr>
              <w:t>+0.5960</w:t>
            </w:r>
          </w:p>
        </w:tc>
      </w:tr>
      <w:tr>
        <w:tc>
          <w:tcPr>
            <w:tcW w:type="dxa" w:w="1337"/>
          </w:tcPr>
          <w:p>
            <w:pPr>
              <w:keepNext/>
              <w:jc w:val="left"/>
            </w:pPr>
            <w:r>
              <w:rPr>
                <w:rFonts w:ascii="Times New Roman" w:hAnsi="Times New Roman"/>
                <w:sz w:val="18"/>
              </w:rPr>
            </w:r>
            <w:r>
              <w:rPr>
                <w:rFonts w:ascii="Times New Roman" w:hAnsi="Times New Roman"/>
                <w:b w:val="0"/>
                <w:sz w:val="18"/>
              </w:rPr>
              <w:t>Deletion steps rejected as OOD</w:t>
            </w:r>
          </w:p>
        </w:tc>
        <w:tc>
          <w:tcPr>
            <w:tcW w:type="dxa" w:w="1337"/>
          </w:tcPr>
          <w:p>
            <w:pPr>
              <w:keepNext/>
              <w:jc w:val="center"/>
            </w:pPr>
            <w:r>
              <w:rPr>
                <w:rFonts w:ascii="Times New Roman" w:hAnsi="Times New Roman"/>
                <w:sz w:val="18"/>
              </w:rPr>
            </w:r>
            <w:r>
              <w:rPr>
                <w:rFonts w:ascii="Times New Roman" w:hAnsi="Times New Roman"/>
                <w:b w:val="0"/>
                <w:sz w:val="18"/>
              </w:rPr>
              <w:t>—</w:t>
            </w:r>
          </w:p>
        </w:tc>
        <w:tc>
          <w:tcPr>
            <w:tcW w:type="dxa" w:w="1337"/>
          </w:tcPr>
          <w:p>
            <w:pPr>
              <w:keepNext/>
              <w:jc w:val="center"/>
            </w:pPr>
            <w:r>
              <w:rPr>
                <w:rFonts w:ascii="Times New Roman" w:hAnsi="Times New Roman"/>
                <w:sz w:val="18"/>
              </w:rPr>
            </w:r>
            <w:r>
              <w:rPr>
                <w:rFonts w:ascii="Times New Roman" w:hAnsi="Times New Roman"/>
                <w:b w:val="0"/>
                <w:sz w:val="18"/>
              </w:rPr>
              <w:t>—</w:t>
            </w:r>
          </w:p>
        </w:tc>
        <w:tc>
          <w:tcPr>
            <w:tcW w:type="dxa" w:w="1337"/>
          </w:tcPr>
          <w:p>
            <w:pPr>
              <w:keepNext/>
              <w:jc w:val="center"/>
            </w:pPr>
            <w:r>
              <w:rPr>
                <w:rFonts w:ascii="Times New Roman" w:hAnsi="Times New Roman"/>
                <w:sz w:val="18"/>
              </w:rPr>
            </w:r>
            <w:r>
              <w:rPr>
                <w:rFonts w:ascii="Times New Roman" w:hAnsi="Times New Roman"/>
                <w:b w:val="0"/>
                <w:sz w:val="18"/>
              </w:rPr>
              <w:t>59.7%</w:t>
            </w:r>
          </w:p>
        </w:tc>
        <w:tc>
          <w:tcPr>
            <w:tcW w:type="dxa" w:w="1337"/>
          </w:tcPr>
          <w:p>
            <w:pPr>
              <w:keepNext/>
              <w:jc w:val="center"/>
            </w:pPr>
            <w:r>
              <w:rPr>
                <w:rFonts w:ascii="Times New Roman" w:hAnsi="Times New Roman"/>
                <w:sz w:val="18"/>
              </w:rPr>
            </w:r>
            <w:r>
              <w:rPr>
                <w:rFonts w:ascii="Times New Roman" w:hAnsi="Times New Roman"/>
                <w:b w:val="0"/>
                <w:sz w:val="18"/>
              </w:rPr>
              <w:t>—</w:t>
            </w:r>
          </w:p>
        </w:tc>
        <w:tc>
          <w:tcPr>
            <w:tcW w:type="dxa" w:w="1337"/>
          </w:tcPr>
          <w:p>
            <w:pPr>
              <w:keepNext/>
              <w:jc w:val="center"/>
            </w:pPr>
            <w:r>
              <w:rPr>
                <w:rFonts w:ascii="Times New Roman" w:hAnsi="Times New Roman"/>
                <w:sz w:val="18"/>
              </w:rPr>
            </w:r>
            <w:r>
              <w:rPr>
                <w:rFonts w:ascii="Times New Roman" w:hAnsi="Times New Roman"/>
                <w:b w:val="0"/>
                <w:sz w:val="18"/>
              </w:rPr>
              <w:t>—</w:t>
            </w:r>
          </w:p>
        </w:tc>
        <w:tc>
          <w:tcPr>
            <w:tcW w:type="dxa" w:w="1337"/>
          </w:tcPr>
          <w:p>
            <w:pPr>
              <w:keepNext/>
              <w:jc w:val="center"/>
            </w:pPr>
            <w:r>
              <w:rPr>
                <w:rFonts w:ascii="Times New Roman" w:hAnsi="Times New Roman"/>
                <w:sz w:val="18"/>
              </w:rPr>
            </w:r>
            <w:r>
              <w:rPr>
                <w:rFonts w:ascii="Times New Roman" w:hAnsi="Times New Roman"/>
                <w:b/>
                <w:sz w:val="18"/>
              </w:rPr>
              <w:t>72.6%</w:t>
            </w:r>
          </w:p>
        </w:tc>
      </w:tr>
    </w:tbl>
    <w:p>
      <w:pPr>
        <w:spacing w:before="60" w:after="200"/>
        <w:jc w:val="left"/>
      </w:pPr>
      <w:r>
        <w:rPr>
          <w:b w:val="0"/>
          <w:i/>
          <w:sz w:val="18"/>
        </w:rPr>
        <w:t>Table 5. Deletion and insertion [8], each against a random pixel ordering on the same image.</w:t>
      </w:r>
    </w:p>
    <w:p>
      <w:r>
        <w:rPr>
          <w:b/>
        </w:rPr>
        <w:t>The raw AUCs are not comparable between the two models, and this is the first thing the table shows.</w:t>
      </w:r>
      <w:r>
        <w:rPr>
          <w:b w:val="0"/>
        </w:rPr>
        <w:t xml:space="preserve"> ResNet50’s predicted probability collapses far faster under random perturbation than ResNet18’s — its random insertion AUC is 0.2740 against 0.4364 — so its curves start from a different place entirely. A paper reporting ResNet50’s insertion AUC of 0.8700 beside ResNet18’s 0.7764 and concluding that the larger model is better explained would be comparing two quantities measured against different baselines. Only the gap over the control is interpretable, and by that measure the larger model genuinely is better localised: +0.5960 against +0.3400.</w:t>
      </w:r>
    </w:p>
    <w:p>
      <w:r>
        <w:rPr>
          <w:b/>
        </w:rPr>
        <w:t>Insertion succeeds and deletion fails, on both models.</w:t>
      </w:r>
      <w:r>
        <w:rPr>
          <w:b w:val="0"/>
        </w:rPr>
        <w:t xml:space="preserve"> Restoring the pixels Grad-CAM ranks highest recovers the predicted probability far faster than restoring random ones. Removing those same pixels destroys it no faster than removing random ones — in fact slower, the deletion gap being positive when it should be negative for both networks. The two metrics are constructed to agree, and their disagreement requires explanation.</w:t>
      </w:r>
    </w:p>
    <w:p>
      <w:r>
        <w:rPr>
          <w:b w:val="0"/>
        </w:rPr>
        <w:t xml:space="preserve">We are able to supply one, and the second backbone turns it from a conjecture into a tested prediction. Blanking pixels produces an image unlike any radiograph, so a probability that falls under deletion may report that the input is no longer a chest X-ray rather than that the evidence has been removed. This objection is well known and is normally left as a caveat. Here it is measurable, because each model carries a detector for exactly this condition (Section 4.6): </w:t>
      </w:r>
      <w:r>
        <w:rPr>
          <w:b/>
        </w:rPr>
        <w:t>59.7% of ResNet18’s deletion steps and 72.6% of ResNet50’s are rejected as out-of-distribution by the respective model’s own Mahalanobis check.</w:t>
      </w:r>
    </w:p>
    <w:p>
      <w:r>
        <w:rPr>
          <w:b w:val="0"/>
        </w:rPr>
        <w:t>The prediction this licenses is that the model whose perturbed images are more off-distribution should have the more corrupted deletion metric, and that is what is observed: ResNet50 has both the higher rejection rate (72.6% against 59.7%) and the deletion gap that is further in the wrong direction (+0.1543 against +0.0103), while simultaneously being the better-localised model on insertion. Deletion and insertion rank the two networks in opposite orders, and the out-of-distribution rate says which ranking to believe.</w:t>
      </w:r>
    </w:p>
    <w:p>
      <w:r>
        <w:rPr>
          <w:b w:val="0"/>
        </w:rPr>
        <w:t>We therefore recommend that deletion-style metrics be reported alongside a distributional validity statistic, and that insertion be preferred where only one can be reported. The diagnostic costs nothing beyond a forward pass wherever an out-of-distribution detector is already present, and without it a deletion AUC cannot be distinguished from a measurement of how brittle the model is to blur.</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tcPr>
          <w:p>
            <w:pPr>
              <w:keepNext/>
              <w:jc w:val="center"/>
            </w:pPr>
            <w:r/>
            <w:r>
              <w:rPr>
                <w:rFonts w:ascii="Times New Roman" w:hAnsi="Times New Roman"/>
                <w:b/>
                <w:sz w:val="18"/>
              </w:rPr>
              <w:t>Quantity</w:t>
            </w:r>
          </w:p>
        </w:tc>
        <w:tc>
          <w:tcPr>
            <w:tcW w:type="dxa" w:w="3120"/>
          </w:tcPr>
          <w:p>
            <w:pPr>
              <w:keepNext/>
              <w:jc w:val="center"/>
            </w:pPr>
            <w:r/>
            <w:r>
              <w:rPr>
                <w:rFonts w:ascii="Times New Roman" w:hAnsi="Times New Roman"/>
                <w:b/>
                <w:sz w:val="18"/>
              </w:rPr>
              <w:t>ResNet18</w:t>
            </w:r>
          </w:p>
        </w:tc>
        <w:tc>
          <w:tcPr>
            <w:tcW w:type="dxa" w:w="3120"/>
          </w:tcPr>
          <w:p>
            <w:pPr>
              <w:keepNext/>
              <w:jc w:val="center"/>
            </w:pPr>
            <w:r/>
            <w:r>
              <w:rPr>
                <w:rFonts w:ascii="Times New Roman" w:hAnsi="Times New Roman"/>
                <w:b/>
                <w:sz w:val="18"/>
              </w:rPr>
              <w:t>ResNet50</w:t>
            </w:r>
          </w:p>
        </w:tc>
      </w:tr>
      <w:tr>
        <w:tc>
          <w:tcPr>
            <w:tcW w:type="dxa" w:w="3120"/>
          </w:tcPr>
          <w:p>
            <w:pPr>
              <w:keepNext/>
              <w:jc w:val="left"/>
            </w:pPr>
            <w:r>
              <w:rPr>
                <w:rFonts w:ascii="Times New Roman" w:hAnsi="Times New Roman"/>
                <w:sz w:val="18"/>
              </w:rPr>
            </w:r>
            <w:r>
              <w:rPr>
                <w:rFonts w:ascii="Times New Roman" w:hAnsi="Times New Roman"/>
                <w:b w:val="0"/>
                <w:sz w:val="18"/>
              </w:rPr>
              <w:t>Grad-CAM mass inside the lung fields</w:t>
            </w:r>
          </w:p>
        </w:tc>
        <w:tc>
          <w:tcPr>
            <w:tcW w:type="dxa" w:w="3120"/>
          </w:tcPr>
          <w:p>
            <w:pPr>
              <w:keepNext/>
              <w:jc w:val="center"/>
            </w:pPr>
            <w:r>
              <w:rPr>
                <w:rFonts w:ascii="Times New Roman" w:hAnsi="Times New Roman"/>
                <w:sz w:val="18"/>
              </w:rPr>
            </w:r>
            <w:r>
              <w:rPr>
                <w:rFonts w:ascii="Times New Roman" w:hAnsi="Times New Roman"/>
                <w:b w:val="0"/>
                <w:sz w:val="18"/>
              </w:rPr>
              <w:t>0.324</w:t>
            </w:r>
          </w:p>
        </w:tc>
        <w:tc>
          <w:tcPr>
            <w:tcW w:type="dxa" w:w="3120"/>
          </w:tcPr>
          <w:p>
            <w:pPr>
              <w:keepNext/>
              <w:jc w:val="center"/>
            </w:pPr>
            <w:r>
              <w:rPr>
                <w:rFonts w:ascii="Times New Roman" w:hAnsi="Times New Roman"/>
                <w:sz w:val="18"/>
              </w:rPr>
            </w:r>
            <w:r>
              <w:rPr>
                <w:rFonts w:ascii="Times New Roman" w:hAnsi="Times New Roman"/>
                <w:b w:val="0"/>
                <w:sz w:val="18"/>
              </w:rPr>
              <w:t>0.304</w:t>
            </w:r>
          </w:p>
        </w:tc>
      </w:tr>
      <w:tr>
        <w:tc>
          <w:tcPr>
            <w:tcW w:type="dxa" w:w="3120"/>
          </w:tcPr>
          <w:p>
            <w:pPr>
              <w:keepNext/>
              <w:jc w:val="left"/>
            </w:pPr>
            <w:r>
              <w:rPr>
                <w:rFonts w:ascii="Times New Roman" w:hAnsi="Times New Roman"/>
                <w:sz w:val="18"/>
              </w:rPr>
            </w:r>
            <w:r>
              <w:rPr>
                <w:rFonts w:ascii="Times New Roman" w:hAnsi="Times New Roman"/>
                <w:b w:val="0"/>
                <w:sz w:val="18"/>
              </w:rPr>
              <w:t>Lung fields as a share of image area</w:t>
            </w:r>
          </w:p>
        </w:tc>
        <w:tc>
          <w:tcPr>
            <w:tcW w:type="dxa" w:w="3120"/>
          </w:tcPr>
          <w:p>
            <w:pPr>
              <w:keepNext/>
              <w:jc w:val="center"/>
            </w:pPr>
            <w:r>
              <w:rPr>
                <w:rFonts w:ascii="Times New Roman" w:hAnsi="Times New Roman"/>
                <w:sz w:val="18"/>
              </w:rPr>
            </w:r>
            <w:r>
              <w:rPr>
                <w:rFonts w:ascii="Times New Roman" w:hAnsi="Times New Roman"/>
                <w:b w:val="0"/>
                <w:sz w:val="18"/>
              </w:rPr>
              <w:t>0.238</w:t>
            </w:r>
          </w:p>
        </w:tc>
        <w:tc>
          <w:tcPr>
            <w:tcW w:type="dxa" w:w="3120"/>
          </w:tcPr>
          <w:p>
            <w:pPr>
              <w:keepNext/>
              <w:jc w:val="center"/>
            </w:pPr>
            <w:r>
              <w:rPr>
                <w:rFonts w:ascii="Times New Roman" w:hAnsi="Times New Roman"/>
                <w:sz w:val="18"/>
              </w:rPr>
            </w:r>
            <w:r>
              <w:rPr>
                <w:rFonts w:ascii="Times New Roman" w:hAnsi="Times New Roman"/>
                <w:b w:val="0"/>
                <w:sz w:val="18"/>
              </w:rPr>
              <w:t>0.238</w:t>
            </w:r>
          </w:p>
        </w:tc>
      </w:tr>
      <w:tr>
        <w:tc>
          <w:tcPr>
            <w:tcW w:type="dxa" w:w="3120"/>
          </w:tcPr>
          <w:p>
            <w:pPr>
              <w:keepNext/>
              <w:jc w:val="left"/>
            </w:pPr>
            <w:r>
              <w:rPr>
                <w:rFonts w:ascii="Times New Roman" w:hAnsi="Times New Roman"/>
                <w:sz w:val="18"/>
              </w:rPr>
            </w:r>
            <w:r>
              <w:rPr>
                <w:rFonts w:ascii="Times New Roman" w:hAnsi="Times New Roman"/>
                <w:b/>
                <w:sz w:val="18"/>
              </w:rPr>
              <w:t>Enrichment</w:t>
            </w:r>
          </w:p>
        </w:tc>
        <w:tc>
          <w:tcPr>
            <w:tcW w:type="dxa" w:w="3120"/>
          </w:tcPr>
          <w:p>
            <w:pPr>
              <w:keepNext/>
              <w:jc w:val="center"/>
            </w:pPr>
            <w:r>
              <w:rPr>
                <w:rFonts w:ascii="Times New Roman" w:hAnsi="Times New Roman"/>
                <w:sz w:val="18"/>
              </w:rPr>
            </w:r>
            <w:r>
              <w:rPr>
                <w:rFonts w:ascii="Times New Roman" w:hAnsi="Times New Roman"/>
                <w:b/>
                <w:sz w:val="18"/>
              </w:rPr>
              <w:t>1.359</w:t>
            </w:r>
          </w:p>
        </w:tc>
        <w:tc>
          <w:tcPr>
            <w:tcW w:type="dxa" w:w="3120"/>
          </w:tcPr>
          <w:p>
            <w:pPr>
              <w:keepNext/>
              <w:jc w:val="center"/>
            </w:pPr>
            <w:r>
              <w:rPr>
                <w:rFonts w:ascii="Times New Roman" w:hAnsi="Times New Roman"/>
                <w:sz w:val="18"/>
              </w:rPr>
            </w:r>
            <w:r>
              <w:rPr>
                <w:rFonts w:ascii="Times New Roman" w:hAnsi="Times New Roman"/>
                <w:b/>
                <w:sz w:val="18"/>
              </w:rPr>
              <w:t>1.274</w:t>
            </w:r>
          </w:p>
        </w:tc>
      </w:tr>
    </w:tbl>
    <w:p>
      <w:pPr>
        <w:spacing w:before="60" w:after="200"/>
        <w:jc w:val="left"/>
      </w:pPr>
      <w:r>
        <w:rPr>
          <w:b w:val="0"/>
          <w:i/>
          <w:sz w:val="18"/>
        </w:rPr>
        <w:t>Table 6. Localisation within the lung fields.</w:t>
      </w:r>
    </w:p>
    <w:p>
      <w:r>
        <w:rPr>
          <w:b w:val="0"/>
        </w:rPr>
        <w:t>Both models’ heatmaps concentrate on the lungs, and both do so modestly — 1.36 and 1.27 times what an uninformative map achieves. Reported alone, a mass fraction of 0.324 would convey a misleading impression of poor localisation; reported without the area baseline it would convey nothing at all. As stated above, this is lung-field mass and not pathology IoU. Note that the larger model, better localised on insertion, is slightly worse by this measure — consistent with lung-field containment and evidence localisation being different properties.</w:t>
      </w:r>
    </w:p>
    <w:p>
      <w:pPr>
        <w:pStyle w:val="Heading2"/>
        <w:jc w:val="left"/>
      </w:pPr>
      <w:r>
        <w:t>4.4 Attribution Consistency and Compactness</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tcPr>
          <w:p>
            <w:pPr>
              <w:keepNext/>
              <w:jc w:val="center"/>
            </w:pPr>
            <w:r/>
            <w:r>
              <w:rPr>
                <w:rFonts w:ascii="Times New Roman" w:hAnsi="Times New Roman"/>
                <w:b/>
                <w:sz w:val="18"/>
              </w:rPr>
              <w:t>Mean pairwise cosine</w:t>
            </w:r>
          </w:p>
        </w:tc>
        <w:tc>
          <w:tcPr>
            <w:tcW w:type="dxa" w:w="3120"/>
          </w:tcPr>
          <w:p>
            <w:pPr>
              <w:keepNext/>
              <w:jc w:val="center"/>
            </w:pPr>
            <w:r/>
            <w:r>
              <w:rPr>
                <w:rFonts w:ascii="Times New Roman" w:hAnsi="Times New Roman"/>
                <w:b/>
                <w:sz w:val="18"/>
              </w:rPr>
              <w:t>ResNet18 (512-d)</w:t>
            </w:r>
          </w:p>
        </w:tc>
        <w:tc>
          <w:tcPr>
            <w:tcW w:type="dxa" w:w="3120"/>
          </w:tcPr>
          <w:p>
            <w:pPr>
              <w:keepNext/>
              <w:jc w:val="center"/>
            </w:pPr>
            <w:r/>
            <w:r>
              <w:rPr>
                <w:rFonts w:ascii="Times New Roman" w:hAnsi="Times New Roman"/>
                <w:b/>
                <w:sz w:val="18"/>
              </w:rPr>
              <w:t>ResNet50 (2048-d)</w:t>
            </w:r>
          </w:p>
        </w:tc>
      </w:tr>
      <w:tr>
        <w:tc>
          <w:tcPr>
            <w:tcW w:type="dxa" w:w="3120"/>
          </w:tcPr>
          <w:p>
            <w:pPr>
              <w:keepNext/>
              <w:jc w:val="left"/>
            </w:pPr>
            <w:r>
              <w:rPr>
                <w:rFonts w:ascii="Times New Roman" w:hAnsi="Times New Roman"/>
                <w:sz w:val="18"/>
              </w:rPr>
            </w:r>
            <w:r>
              <w:rPr>
                <w:rFonts w:ascii="Times New Roman" w:hAnsi="Times New Roman"/>
                <w:b w:val="0"/>
                <w:sz w:val="18"/>
              </w:rPr>
              <w:t>Within class</w:t>
            </w:r>
          </w:p>
        </w:tc>
        <w:tc>
          <w:tcPr>
            <w:tcW w:type="dxa" w:w="3120"/>
          </w:tcPr>
          <w:p>
            <w:pPr>
              <w:keepNext/>
              <w:jc w:val="center"/>
            </w:pPr>
            <w:r>
              <w:rPr>
                <w:rFonts w:ascii="Times New Roman" w:hAnsi="Times New Roman"/>
                <w:sz w:val="18"/>
              </w:rPr>
            </w:r>
            <w:r>
              <w:rPr>
                <w:rFonts w:ascii="Times New Roman" w:hAnsi="Times New Roman"/>
                <w:b w:val="0"/>
                <w:sz w:val="18"/>
              </w:rPr>
              <w:t>0.6076</w:t>
            </w:r>
          </w:p>
        </w:tc>
        <w:tc>
          <w:tcPr>
            <w:tcW w:type="dxa" w:w="3120"/>
          </w:tcPr>
          <w:p>
            <w:pPr>
              <w:keepNext/>
              <w:jc w:val="center"/>
            </w:pPr>
            <w:r>
              <w:rPr>
                <w:rFonts w:ascii="Times New Roman" w:hAnsi="Times New Roman"/>
                <w:sz w:val="18"/>
              </w:rPr>
            </w:r>
            <w:r>
              <w:rPr>
                <w:rFonts w:ascii="Times New Roman" w:hAnsi="Times New Roman"/>
                <w:b w:val="0"/>
                <w:sz w:val="18"/>
              </w:rPr>
              <w:t>0.3118</w:t>
            </w:r>
          </w:p>
        </w:tc>
      </w:tr>
      <w:tr>
        <w:tc>
          <w:tcPr>
            <w:tcW w:type="dxa" w:w="3120"/>
          </w:tcPr>
          <w:p>
            <w:pPr>
              <w:keepNext/>
              <w:jc w:val="left"/>
            </w:pPr>
            <w:r>
              <w:rPr>
                <w:rFonts w:ascii="Times New Roman" w:hAnsi="Times New Roman"/>
                <w:sz w:val="18"/>
              </w:rPr>
            </w:r>
            <w:r>
              <w:rPr>
                <w:rFonts w:ascii="Times New Roman" w:hAnsi="Times New Roman"/>
                <w:b w:val="0"/>
                <w:sz w:val="18"/>
              </w:rPr>
              <w:t>All pairs (control)</w:t>
            </w:r>
          </w:p>
        </w:tc>
        <w:tc>
          <w:tcPr>
            <w:tcW w:type="dxa" w:w="3120"/>
          </w:tcPr>
          <w:p>
            <w:pPr>
              <w:keepNext/>
              <w:jc w:val="center"/>
            </w:pPr>
            <w:r>
              <w:rPr>
                <w:rFonts w:ascii="Times New Roman" w:hAnsi="Times New Roman"/>
                <w:sz w:val="18"/>
              </w:rPr>
            </w:r>
            <w:r>
              <w:rPr>
                <w:rFonts w:ascii="Times New Roman" w:hAnsi="Times New Roman"/>
                <w:b w:val="0"/>
                <w:sz w:val="18"/>
              </w:rPr>
              <w:t>0.3142</w:t>
            </w:r>
          </w:p>
        </w:tc>
        <w:tc>
          <w:tcPr>
            <w:tcW w:type="dxa" w:w="3120"/>
          </w:tcPr>
          <w:p>
            <w:pPr>
              <w:keepNext/>
              <w:jc w:val="center"/>
            </w:pPr>
            <w:r>
              <w:rPr>
                <w:rFonts w:ascii="Times New Roman" w:hAnsi="Times New Roman"/>
                <w:sz w:val="18"/>
              </w:rPr>
            </w:r>
            <w:r>
              <w:rPr>
                <w:rFonts w:ascii="Times New Roman" w:hAnsi="Times New Roman"/>
                <w:b w:val="0"/>
                <w:sz w:val="18"/>
              </w:rPr>
              <w:t>0.1479</w:t>
            </w:r>
          </w:p>
        </w:tc>
      </w:tr>
      <w:tr>
        <w:tc>
          <w:tcPr>
            <w:tcW w:type="dxa" w:w="3120"/>
          </w:tcPr>
          <w:p>
            <w:pPr>
              <w:keepNext/>
              <w:jc w:val="left"/>
            </w:pPr>
            <w:r>
              <w:rPr>
                <w:rFonts w:ascii="Times New Roman" w:hAnsi="Times New Roman"/>
                <w:sz w:val="18"/>
              </w:rPr>
            </w:r>
            <w:r>
              <w:rPr>
                <w:rFonts w:ascii="Times New Roman" w:hAnsi="Times New Roman"/>
                <w:b/>
                <w:sz w:val="18"/>
              </w:rPr>
              <w:t>Ratio</w:t>
            </w:r>
          </w:p>
        </w:tc>
        <w:tc>
          <w:tcPr>
            <w:tcW w:type="dxa" w:w="3120"/>
          </w:tcPr>
          <w:p>
            <w:pPr>
              <w:keepNext/>
              <w:jc w:val="center"/>
            </w:pPr>
            <w:r>
              <w:rPr>
                <w:rFonts w:ascii="Times New Roman" w:hAnsi="Times New Roman"/>
                <w:sz w:val="18"/>
              </w:rPr>
            </w:r>
            <w:r>
              <w:rPr>
                <w:rFonts w:ascii="Times New Roman" w:hAnsi="Times New Roman"/>
                <w:b/>
                <w:sz w:val="18"/>
              </w:rPr>
              <w:t>1.93</w:t>
            </w:r>
          </w:p>
        </w:tc>
        <w:tc>
          <w:tcPr>
            <w:tcW w:type="dxa" w:w="3120"/>
          </w:tcPr>
          <w:p>
            <w:pPr>
              <w:keepNext/>
              <w:jc w:val="center"/>
            </w:pPr>
            <w:r>
              <w:rPr>
                <w:rFonts w:ascii="Times New Roman" w:hAnsi="Times New Roman"/>
                <w:sz w:val="18"/>
              </w:rPr>
            </w:r>
            <w:r>
              <w:rPr>
                <w:rFonts w:ascii="Times New Roman" w:hAnsi="Times New Roman"/>
                <w:b/>
                <w:sz w:val="18"/>
              </w:rPr>
              <w:t>2.11</w:t>
            </w:r>
          </w:p>
        </w:tc>
      </w:tr>
    </w:tbl>
    <w:p>
      <w:pPr>
        <w:spacing w:before="60" w:after="200"/>
        <w:jc w:val="left"/>
      </w:pPr>
      <w:r>
        <w:rPr>
          <w:b w:val="0"/>
          <w:i/>
          <w:sz w:val="18"/>
        </w:rPr>
        <w:t>Table 7. SHAP vector similarity, same 200 images, both backbones.</w:t>
      </w:r>
    </w:p>
    <w:p>
      <w:r>
        <w:rPr>
          <w:b/>
        </w:rPr>
        <w:t>The absolute figures halve between the two models and the ratio does not move.</w:t>
      </w:r>
      <w:r>
        <w:rPr>
          <w:b w:val="0"/>
        </w:rPr>
        <w:t xml:space="preserve"> This is the clearest demonstration in the paper of why the control is load-bearing. Cosine similarity between high-dimensional vectors falls as dimension rises — 2048-dimensional attributions are more spread out than 512-dimensional ones simply as geometry — so a within-class cosine of 0.31 read on its own would suggest ResNet50’s explanations are half as consistent as ResNet18’s. Measured against its own control, the consistency is if anything marginally higher. </w:t>
      </w:r>
      <w:r>
        <w:rPr>
          <w:b/>
        </w:rPr>
        <w:t>An absolute attribution-similarity figure is not comparable across architectures and should not be reported without its null.</w:t>
      </w:r>
    </w:p>
    <w:p>
      <w:r>
        <w:rPr>
          <w:b w:val="0"/>
        </w:rPr>
        <w:t>The control is also necessary within a single model. Every SHAP vector in this construction is w ⊙ (x − E[x]) for one shared w, so any two vectors agree in direction before anything about the underlying images is considered; a within-class figure alone is substantially an artefact of the method. At roughly twice the control on both networks, the within-class consistency is real.</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tcPr>
          <w:p>
            <w:pPr>
              <w:keepNext/>
              <w:jc w:val="center"/>
            </w:pPr>
            <w:r/>
            <w:r>
              <w:rPr>
                <w:rFonts w:ascii="Times New Roman" w:hAnsi="Times New Roman"/>
                <w:b/>
                <w:sz w:val="18"/>
              </w:rPr>
              <w:t>Quantity</w:t>
            </w:r>
          </w:p>
        </w:tc>
        <w:tc>
          <w:tcPr>
            <w:tcW w:type="dxa" w:w="3120"/>
          </w:tcPr>
          <w:p>
            <w:pPr>
              <w:keepNext/>
              <w:jc w:val="center"/>
            </w:pPr>
            <w:r/>
            <w:r>
              <w:rPr>
                <w:rFonts w:ascii="Times New Roman" w:hAnsi="Times New Roman"/>
                <w:b/>
                <w:sz w:val="18"/>
              </w:rPr>
              <w:t>ResNet18</w:t>
            </w:r>
          </w:p>
        </w:tc>
        <w:tc>
          <w:tcPr>
            <w:tcW w:type="dxa" w:w="3120"/>
          </w:tcPr>
          <w:p>
            <w:pPr>
              <w:keepNext/>
              <w:jc w:val="center"/>
            </w:pPr>
            <w:r/>
            <w:r>
              <w:rPr>
                <w:rFonts w:ascii="Times New Roman" w:hAnsi="Times New Roman"/>
                <w:b/>
                <w:sz w:val="18"/>
              </w:rPr>
              <w:t>ResNet50</w:t>
            </w:r>
          </w:p>
        </w:tc>
      </w:tr>
      <w:tr>
        <w:tc>
          <w:tcPr>
            <w:tcW w:type="dxa" w:w="3120"/>
          </w:tcPr>
          <w:p>
            <w:pPr>
              <w:keepNext/>
              <w:jc w:val="left"/>
            </w:pPr>
            <w:r>
              <w:rPr>
                <w:rFonts w:ascii="Times New Roman" w:hAnsi="Times New Roman"/>
                <w:sz w:val="18"/>
              </w:rPr>
            </w:r>
            <w:r>
              <w:rPr>
                <w:rFonts w:ascii="Times New Roman" w:hAnsi="Times New Roman"/>
                <w:b w:val="0"/>
                <w:sz w:val="18"/>
              </w:rPr>
              <w:t>Top-15 coverage</w:t>
            </w:r>
          </w:p>
        </w:tc>
        <w:tc>
          <w:tcPr>
            <w:tcW w:type="dxa" w:w="3120"/>
          </w:tcPr>
          <w:p>
            <w:pPr>
              <w:keepNext/>
              <w:jc w:val="center"/>
            </w:pPr>
            <w:r>
              <w:rPr>
                <w:rFonts w:ascii="Times New Roman" w:hAnsi="Times New Roman"/>
                <w:sz w:val="18"/>
              </w:rPr>
            </w:r>
            <w:r>
              <w:rPr>
                <w:rFonts w:ascii="Times New Roman" w:hAnsi="Times New Roman"/>
                <w:b w:val="0"/>
                <w:sz w:val="18"/>
              </w:rPr>
              <w:t>15.1%</w:t>
            </w:r>
          </w:p>
        </w:tc>
        <w:tc>
          <w:tcPr>
            <w:tcW w:type="dxa" w:w="3120"/>
          </w:tcPr>
          <w:p>
            <w:pPr>
              <w:keepNext/>
              <w:jc w:val="center"/>
            </w:pPr>
            <w:r>
              <w:rPr>
                <w:rFonts w:ascii="Times New Roman" w:hAnsi="Times New Roman"/>
                <w:sz w:val="18"/>
              </w:rPr>
            </w:r>
            <w:r>
              <w:rPr>
                <w:rFonts w:ascii="Times New Roman" w:hAnsi="Times New Roman"/>
                <w:b w:val="0"/>
                <w:sz w:val="18"/>
              </w:rPr>
              <w:t>14.2%</w:t>
            </w:r>
          </w:p>
        </w:tc>
      </w:tr>
      <w:tr>
        <w:tc>
          <w:tcPr>
            <w:tcW w:type="dxa" w:w="3120"/>
          </w:tcPr>
          <w:p>
            <w:pPr>
              <w:keepNext/>
              <w:jc w:val="left"/>
            </w:pPr>
            <w:r>
              <w:rPr>
                <w:rFonts w:ascii="Times New Roman" w:hAnsi="Times New Roman"/>
                <w:sz w:val="18"/>
              </w:rPr>
            </w:r>
            <w:r>
              <w:rPr>
                <w:rFonts w:ascii="Times New Roman" w:hAnsi="Times New Roman"/>
                <w:b w:val="0"/>
                <w:sz w:val="18"/>
              </w:rPr>
              <w:t>Features</w:t>
            </w:r>
          </w:p>
        </w:tc>
        <w:tc>
          <w:tcPr>
            <w:tcW w:type="dxa" w:w="3120"/>
          </w:tcPr>
          <w:p>
            <w:pPr>
              <w:keepNext/>
              <w:jc w:val="center"/>
            </w:pPr>
            <w:r>
              <w:rPr>
                <w:rFonts w:ascii="Times New Roman" w:hAnsi="Times New Roman"/>
                <w:sz w:val="18"/>
              </w:rPr>
            </w:r>
            <w:r>
              <w:rPr>
                <w:rFonts w:ascii="Times New Roman" w:hAnsi="Times New Roman"/>
                <w:b w:val="0"/>
                <w:sz w:val="18"/>
              </w:rPr>
              <w:t>512</w:t>
            </w:r>
          </w:p>
        </w:tc>
        <w:tc>
          <w:tcPr>
            <w:tcW w:type="dxa" w:w="3120"/>
          </w:tcPr>
          <w:p>
            <w:pPr>
              <w:keepNext/>
              <w:jc w:val="center"/>
            </w:pPr>
            <w:r>
              <w:rPr>
                <w:rFonts w:ascii="Times New Roman" w:hAnsi="Times New Roman"/>
                <w:sz w:val="18"/>
              </w:rPr>
            </w:r>
            <w:r>
              <w:rPr>
                <w:rFonts w:ascii="Times New Roman" w:hAnsi="Times New Roman"/>
                <w:b w:val="0"/>
                <w:sz w:val="18"/>
              </w:rPr>
              <w:t>2048</w:t>
            </w:r>
          </w:p>
        </w:tc>
      </w:tr>
      <w:tr>
        <w:tc>
          <w:tcPr>
            <w:tcW w:type="dxa" w:w="3120"/>
          </w:tcPr>
          <w:p>
            <w:pPr>
              <w:keepNext/>
              <w:jc w:val="left"/>
            </w:pPr>
            <w:r>
              <w:rPr>
                <w:rFonts w:ascii="Times New Roman" w:hAnsi="Times New Roman"/>
                <w:sz w:val="18"/>
              </w:rPr>
            </w:r>
            <w:r>
              <w:rPr>
                <w:rFonts w:ascii="Times New Roman" w:hAnsi="Times New Roman"/>
                <w:b w:val="0"/>
                <w:sz w:val="18"/>
              </w:rPr>
              <w:t>Uniform expectation</w:t>
            </w:r>
          </w:p>
        </w:tc>
        <w:tc>
          <w:tcPr>
            <w:tcW w:type="dxa" w:w="3120"/>
          </w:tcPr>
          <w:p>
            <w:pPr>
              <w:keepNext/>
              <w:jc w:val="center"/>
            </w:pPr>
            <w:r>
              <w:rPr>
                <w:rFonts w:ascii="Times New Roman" w:hAnsi="Times New Roman"/>
                <w:sz w:val="18"/>
              </w:rPr>
            </w:r>
            <w:r>
              <w:rPr>
                <w:rFonts w:ascii="Times New Roman" w:hAnsi="Times New Roman"/>
                <w:b w:val="0"/>
                <w:sz w:val="18"/>
              </w:rPr>
              <w:t>2.93%</w:t>
            </w:r>
          </w:p>
        </w:tc>
        <w:tc>
          <w:tcPr>
            <w:tcW w:type="dxa" w:w="3120"/>
          </w:tcPr>
          <w:p>
            <w:pPr>
              <w:keepNext/>
              <w:jc w:val="center"/>
            </w:pPr>
            <w:r>
              <w:rPr>
                <w:rFonts w:ascii="Times New Roman" w:hAnsi="Times New Roman"/>
                <w:sz w:val="18"/>
              </w:rPr>
            </w:r>
            <w:r>
              <w:rPr>
                <w:rFonts w:ascii="Times New Roman" w:hAnsi="Times New Roman"/>
                <w:b w:val="0"/>
                <w:sz w:val="18"/>
              </w:rPr>
              <w:t>0.73%</w:t>
            </w:r>
          </w:p>
        </w:tc>
      </w:tr>
      <w:tr>
        <w:tc>
          <w:tcPr>
            <w:tcW w:type="dxa" w:w="3120"/>
          </w:tcPr>
          <w:p>
            <w:pPr>
              <w:keepNext/>
              <w:jc w:val="left"/>
            </w:pPr>
            <w:r>
              <w:rPr>
                <w:rFonts w:ascii="Times New Roman" w:hAnsi="Times New Roman"/>
                <w:sz w:val="18"/>
              </w:rPr>
            </w:r>
            <w:r>
              <w:rPr>
                <w:rFonts w:ascii="Times New Roman" w:hAnsi="Times New Roman"/>
                <w:b w:val="0"/>
                <w:sz w:val="18"/>
              </w:rPr>
              <w:t>Concentration over uniform</w:t>
            </w:r>
          </w:p>
        </w:tc>
        <w:tc>
          <w:tcPr>
            <w:tcW w:type="dxa" w:w="3120"/>
          </w:tcPr>
          <w:p>
            <w:pPr>
              <w:keepNext/>
              <w:jc w:val="center"/>
            </w:pPr>
            <w:r>
              <w:rPr>
                <w:rFonts w:ascii="Times New Roman" w:hAnsi="Times New Roman"/>
                <w:sz w:val="18"/>
              </w:rPr>
            </w:r>
            <w:r>
              <w:rPr>
                <w:rFonts w:ascii="Times New Roman" w:hAnsi="Times New Roman"/>
                <w:b w:val="0"/>
                <w:sz w:val="18"/>
              </w:rPr>
              <w:t>5.2×</w:t>
            </w:r>
          </w:p>
        </w:tc>
        <w:tc>
          <w:tcPr>
            <w:tcW w:type="dxa" w:w="3120"/>
          </w:tcPr>
          <w:p>
            <w:pPr>
              <w:keepNext/>
              <w:jc w:val="center"/>
            </w:pPr>
            <w:r>
              <w:rPr>
                <w:rFonts w:ascii="Times New Roman" w:hAnsi="Times New Roman"/>
                <w:sz w:val="18"/>
              </w:rPr>
            </w:r>
            <w:r>
              <w:rPr>
                <w:rFonts w:ascii="Times New Roman" w:hAnsi="Times New Roman"/>
                <w:b/>
                <w:sz w:val="18"/>
              </w:rPr>
              <w:t>19.3×</w:t>
            </w:r>
          </w:p>
        </w:tc>
      </w:tr>
    </w:tbl>
    <w:p>
      <w:pPr>
        <w:spacing w:before="60" w:after="200"/>
        <w:jc w:val="left"/>
      </w:pPr>
      <w:r>
        <w:rPr>
          <w:b w:val="0"/>
          <w:i/>
          <w:sz w:val="18"/>
        </w:rPr>
        <w:t>Table 8. Attribution compactness — share of total attributed movement in the fifteen largest contributions.</w:t>
      </w:r>
    </w:p>
    <w:p>
      <w:r>
        <w:rPr>
          <w:b w:val="0"/>
        </w:rPr>
        <w:t>The two models look alike in the first row and are very different underneath it. ResNet50 spreads its attribution over four times as many features, so reaching a comparable 14.2% in fifteen of them represents far greater concentration relative to chance. Both readings are needed: the raw coverage governs how a chart should be captioned, the concentration governs whether the representation is distributed.</w:t>
      </w:r>
    </w:p>
    <w:p>
      <w:r>
        <w:rPr>
          <w:b w:val="0"/>
        </w:rPr>
        <w:t xml:space="preserve">This is the least comfortable result in the paper and it bears directly on how such figures are presented. </w:t>
      </w:r>
      <w:r>
        <w:rPr>
          <w:b/>
        </w:rPr>
        <w:t>A bar chart of the fifteen largest SHAP values is a sample of the model’s reasoning, not a summary of it.</w:t>
      </w:r>
      <w:r>
        <w:rPr>
          <w:b w:val="0"/>
        </w:rPr>
        <w:t xml:space="preserve"> A reader shown fifteen bars will reasonably infer they constitute the explanation; on either network they constitute about a seventh of it. Our /analyze endpoint returns this coverage fraction alongside the attributions so a client cannot present them as “the reason” without contradicting the payload it received, and we suggest any published per-prediction SHAP chart carry the equivalent figure.</w:t>
      </w:r>
    </w:p>
    <w:p>
      <w:pPr>
        <w:pStyle w:val="Heading2"/>
        <w:jc w:val="left"/>
      </w:pPr>
      <w:r>
        <w:t>4.5 The Provenance Confound</w:t>
      </w:r>
    </w:p>
    <w:p>
      <w:r>
        <w:rPr>
          <w:b/>
        </w:rPr>
        <w:t>The classes in this dataset are separable by source before any lung is examined.</w:t>
      </w:r>
      <w:r>
        <w:rPr>
          <w:b w:val="0"/>
        </w:rPr>
        <w:t xml:space="preserve"> Every COVID-19 image in the COVID-19 Radiography Database originates from BIMCV, Eurorad, SIRM or a GitHub collection; every normal and viral pneumonia image originates from Kaggle-hosted collections. The overlap is empty. Scanner, exposure, collimation, burned-in annotation and post-processing character all carry that origin, so a model can achieve a high score by identifying the repository rather than the disease, and would exhibit no symptom of having done so on any metric in Section 4.1.</w:t>
      </w:r>
    </w:p>
    <w:p>
      <w:r>
        <w:rPr>
          <w:b/>
        </w:rPr>
        <w:t>The masking ablation.</w:t>
      </w:r>
      <w:r>
        <w:rPr>
          <w:b w:val="0"/>
        </w:rPr>
        <w:t xml:space="preserve"> We retrained the identical recipe on a mirror of the same split with every non-lung pixel zeroed using the shipped segmentation masks — approximately 77% of each image removed, including all burned-in markers, collimation edges, soft tissue and background. The split is mirrored rather than redrawn, so the two runs differ in exactly one variable.</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tcPr>
          <w:p>
            <w:pPr>
              <w:keepNext/>
              <w:jc w:val="center"/>
            </w:pPr>
            <w:r/>
            <w:r>
              <w:rPr>
                <w:rFonts w:ascii="Times New Roman" w:hAnsi="Times New Roman"/>
                <w:b/>
                <w:sz w:val="18"/>
              </w:rPr>
              <w:t>Configuration</w:t>
            </w:r>
          </w:p>
        </w:tc>
        <w:tc>
          <w:tcPr>
            <w:tcW w:type="dxa" w:w="2340"/>
          </w:tcPr>
          <w:p>
            <w:pPr>
              <w:keepNext/>
              <w:jc w:val="center"/>
            </w:pPr>
            <w:r/>
            <w:r>
              <w:rPr>
                <w:rFonts w:ascii="Times New Roman" w:hAnsi="Times New Roman"/>
                <w:b/>
                <w:sz w:val="18"/>
              </w:rPr>
              <w:t>Macro F1</w:t>
            </w:r>
          </w:p>
        </w:tc>
        <w:tc>
          <w:tcPr>
            <w:tcW w:type="dxa" w:w="2340"/>
          </w:tcPr>
          <w:p>
            <w:pPr>
              <w:keepNext/>
              <w:jc w:val="center"/>
            </w:pPr>
            <w:r/>
            <w:r>
              <w:rPr>
                <w:rFonts w:ascii="Times New Roman" w:hAnsi="Times New Roman"/>
                <w:b/>
                <w:sz w:val="18"/>
              </w:rPr>
              <w:t>Accuracy</w:t>
            </w:r>
          </w:p>
        </w:tc>
        <w:tc>
          <w:tcPr>
            <w:tcW w:type="dxa" w:w="2340"/>
          </w:tcPr>
          <w:p>
            <w:pPr>
              <w:keepNext/>
              <w:jc w:val="center"/>
            </w:pPr>
            <w:r/>
            <w:r>
              <w:rPr>
                <w:rFonts w:ascii="Times New Roman" w:hAnsi="Times New Roman"/>
                <w:b/>
                <w:sz w:val="18"/>
              </w:rPr>
              <w:t>Macro AUC</w:t>
            </w:r>
          </w:p>
        </w:tc>
      </w:tr>
      <w:tr>
        <w:tc>
          <w:tcPr>
            <w:tcW w:type="dxa" w:w="2340"/>
          </w:tcPr>
          <w:p>
            <w:pPr>
              <w:keepNext/>
              <w:jc w:val="left"/>
            </w:pPr>
            <w:r>
              <w:rPr>
                <w:rFonts w:ascii="Times New Roman" w:hAnsi="Times New Roman"/>
                <w:sz w:val="18"/>
              </w:rPr>
            </w:r>
            <w:r>
              <w:rPr>
                <w:rFonts w:ascii="Times New Roman" w:hAnsi="Times New Roman"/>
                <w:b w:val="0"/>
                <w:sz w:val="18"/>
              </w:rPr>
              <w:t>As distributed</w:t>
            </w:r>
          </w:p>
        </w:tc>
        <w:tc>
          <w:tcPr>
            <w:tcW w:type="dxa" w:w="2340"/>
          </w:tcPr>
          <w:p>
            <w:pPr>
              <w:keepNext/>
              <w:jc w:val="center"/>
            </w:pPr>
            <w:r>
              <w:rPr>
                <w:rFonts w:ascii="Times New Roman" w:hAnsi="Times New Roman"/>
                <w:sz w:val="18"/>
              </w:rPr>
            </w:r>
            <w:r>
              <w:rPr>
                <w:rFonts w:ascii="Times New Roman" w:hAnsi="Times New Roman"/>
                <w:b w:val="0"/>
                <w:sz w:val="18"/>
              </w:rPr>
              <w:t>0.9587</w:t>
            </w:r>
          </w:p>
        </w:tc>
        <w:tc>
          <w:tcPr>
            <w:tcW w:type="dxa" w:w="2340"/>
          </w:tcPr>
          <w:p>
            <w:pPr>
              <w:keepNext/>
              <w:jc w:val="center"/>
            </w:pPr>
            <w:r>
              <w:rPr>
                <w:rFonts w:ascii="Times New Roman" w:hAnsi="Times New Roman"/>
                <w:sz w:val="18"/>
              </w:rPr>
            </w:r>
            <w:r>
              <w:rPr>
                <w:rFonts w:ascii="Times New Roman" w:hAnsi="Times New Roman"/>
                <w:b w:val="0"/>
                <w:sz w:val="18"/>
              </w:rPr>
              <w:t>0.9524</w:t>
            </w:r>
          </w:p>
        </w:tc>
        <w:tc>
          <w:tcPr>
            <w:tcW w:type="dxa" w:w="2340"/>
          </w:tcPr>
          <w:p>
            <w:pPr>
              <w:keepNext/>
              <w:jc w:val="center"/>
            </w:pPr>
            <w:r>
              <w:rPr>
                <w:rFonts w:ascii="Times New Roman" w:hAnsi="Times New Roman"/>
                <w:sz w:val="18"/>
              </w:rPr>
            </w:r>
            <w:r>
              <w:rPr>
                <w:rFonts w:ascii="Times New Roman" w:hAnsi="Times New Roman"/>
                <w:b w:val="0"/>
                <w:sz w:val="18"/>
              </w:rPr>
              <w:t>0.9928</w:t>
            </w:r>
          </w:p>
        </w:tc>
      </w:tr>
      <w:tr>
        <w:tc>
          <w:tcPr>
            <w:tcW w:type="dxa" w:w="2340"/>
          </w:tcPr>
          <w:p>
            <w:pPr>
              <w:keepNext/>
              <w:jc w:val="left"/>
            </w:pPr>
            <w:r>
              <w:rPr>
                <w:rFonts w:ascii="Times New Roman" w:hAnsi="Times New Roman"/>
                <w:sz w:val="18"/>
              </w:rPr>
            </w:r>
            <w:r>
              <w:rPr>
                <w:rFonts w:ascii="Times New Roman" w:hAnsi="Times New Roman"/>
                <w:b w:val="0"/>
                <w:sz w:val="18"/>
              </w:rPr>
              <w:t>Lungs only</w:t>
            </w:r>
          </w:p>
        </w:tc>
        <w:tc>
          <w:tcPr>
            <w:tcW w:type="dxa" w:w="2340"/>
          </w:tcPr>
          <w:p>
            <w:pPr>
              <w:keepNext/>
              <w:jc w:val="center"/>
            </w:pPr>
            <w:r>
              <w:rPr>
                <w:rFonts w:ascii="Times New Roman" w:hAnsi="Times New Roman"/>
                <w:sz w:val="18"/>
              </w:rPr>
            </w:r>
            <w:r>
              <w:rPr>
                <w:rFonts w:ascii="Times New Roman" w:hAnsi="Times New Roman"/>
                <w:b w:val="0"/>
                <w:sz w:val="18"/>
              </w:rPr>
              <w:t>0.9341</w:t>
            </w:r>
          </w:p>
        </w:tc>
        <w:tc>
          <w:tcPr>
            <w:tcW w:type="dxa" w:w="2340"/>
          </w:tcPr>
          <w:p>
            <w:pPr>
              <w:keepNext/>
              <w:jc w:val="center"/>
            </w:pPr>
            <w:r>
              <w:rPr>
                <w:rFonts w:ascii="Times New Roman" w:hAnsi="Times New Roman"/>
                <w:sz w:val="18"/>
              </w:rPr>
            </w:r>
            <w:r>
              <w:rPr>
                <w:rFonts w:ascii="Times New Roman" w:hAnsi="Times New Roman"/>
                <w:b w:val="0"/>
                <w:sz w:val="18"/>
              </w:rPr>
              <w:t>0.9298</w:t>
            </w:r>
          </w:p>
        </w:tc>
        <w:tc>
          <w:tcPr>
            <w:tcW w:type="dxa" w:w="2340"/>
          </w:tcPr>
          <w:p>
            <w:pPr>
              <w:keepNext/>
              <w:jc w:val="center"/>
            </w:pPr>
            <w:r>
              <w:rPr>
                <w:rFonts w:ascii="Times New Roman" w:hAnsi="Times New Roman"/>
                <w:sz w:val="18"/>
              </w:rPr>
            </w:r>
            <w:r>
              <w:rPr>
                <w:rFonts w:ascii="Times New Roman" w:hAnsi="Times New Roman"/>
                <w:b w:val="0"/>
                <w:sz w:val="18"/>
              </w:rPr>
              <w:t>0.9898</w:t>
            </w:r>
          </w:p>
        </w:tc>
      </w:tr>
    </w:tbl>
    <w:p>
      <w:pPr>
        <w:spacing w:before="60" w:after="200"/>
        <w:jc w:val="left"/>
      </w:pPr>
      <w:r>
        <w:rPr>
          <w:b w:val="0"/>
          <w:i/>
          <w:sz w:val="18"/>
        </w:rPr>
        <w:t>Table 9. Cost of removing everything outside the lungs (ResNet18).</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872"/>
          </w:tcPr>
          <w:p>
            <w:pPr>
              <w:keepNext/>
              <w:jc w:val="center"/>
            </w:pPr>
            <w:r/>
            <w:r>
              <w:rPr>
                <w:rFonts w:ascii="Times New Roman" w:hAnsi="Times New Roman"/>
                <w:b/>
                <w:sz w:val="18"/>
              </w:rPr>
              <w:t>Per-class loss</w:t>
            </w:r>
          </w:p>
        </w:tc>
        <w:tc>
          <w:tcPr>
            <w:tcW w:type="dxa" w:w="1872"/>
          </w:tcPr>
          <w:p>
            <w:pPr>
              <w:keepNext/>
              <w:jc w:val="center"/>
            </w:pPr>
            <w:r/>
            <w:r>
              <w:rPr>
                <w:rFonts w:ascii="Times New Roman" w:hAnsi="Times New Roman"/>
                <w:b/>
                <w:sz w:val="18"/>
              </w:rPr>
              <w:t>COVID19</w:t>
            </w:r>
          </w:p>
        </w:tc>
        <w:tc>
          <w:tcPr>
            <w:tcW w:type="dxa" w:w="1872"/>
          </w:tcPr>
          <w:p>
            <w:pPr>
              <w:keepNext/>
              <w:jc w:val="center"/>
            </w:pPr>
            <w:r/>
            <w:r>
              <w:rPr>
                <w:rFonts w:ascii="Times New Roman" w:hAnsi="Times New Roman"/>
                <w:b/>
                <w:sz w:val="18"/>
              </w:rPr>
              <w:t>LUNG_OPACITY</w:t>
            </w:r>
          </w:p>
        </w:tc>
        <w:tc>
          <w:tcPr>
            <w:tcW w:type="dxa" w:w="1872"/>
          </w:tcPr>
          <w:p>
            <w:pPr>
              <w:keepNext/>
              <w:jc w:val="center"/>
            </w:pPr>
            <w:r/>
            <w:r>
              <w:rPr>
                <w:rFonts w:ascii="Times New Roman" w:hAnsi="Times New Roman"/>
                <w:b/>
                <w:sz w:val="18"/>
              </w:rPr>
              <w:t>NORMAL</w:t>
            </w:r>
          </w:p>
        </w:tc>
        <w:tc>
          <w:tcPr>
            <w:tcW w:type="dxa" w:w="1872"/>
          </w:tcPr>
          <w:p>
            <w:pPr>
              <w:keepNext/>
              <w:jc w:val="center"/>
            </w:pPr>
            <w:r/>
            <w:r>
              <w:rPr>
                <w:rFonts w:ascii="Times New Roman" w:hAnsi="Times New Roman"/>
                <w:b/>
                <w:sz w:val="18"/>
              </w:rPr>
              <w:t>PNEUMONIA</w:t>
            </w:r>
          </w:p>
        </w:tc>
      </w:tr>
      <w:tr>
        <w:tc>
          <w:tcPr>
            <w:tcW w:type="dxa" w:w="1872"/>
          </w:tcPr>
          <w:p>
            <w:pPr>
              <w:keepNext/>
              <w:jc w:val="left"/>
            </w:pPr>
            <w:r>
              <w:rPr>
                <w:rFonts w:ascii="Times New Roman" w:hAnsi="Times New Roman"/>
                <w:sz w:val="18"/>
              </w:rPr>
            </w:r>
            <w:r>
              <w:rPr>
                <w:rFonts w:ascii="Times New Roman" w:hAnsi="Times New Roman"/>
                <w:b w:val="0"/>
                <w:sz w:val="18"/>
              </w:rPr>
              <w:t>F1</w:t>
            </w:r>
          </w:p>
        </w:tc>
        <w:tc>
          <w:tcPr>
            <w:tcW w:type="dxa" w:w="1872"/>
          </w:tcPr>
          <w:p>
            <w:pPr>
              <w:keepNext/>
              <w:jc w:val="center"/>
            </w:pPr>
            <w:r>
              <w:rPr>
                <w:rFonts w:ascii="Times New Roman" w:hAnsi="Times New Roman"/>
                <w:sz w:val="18"/>
              </w:rPr>
            </w:r>
            <w:r>
              <w:rPr>
                <w:rFonts w:ascii="Times New Roman" w:hAnsi="Times New Roman"/>
                <w:b/>
                <w:sz w:val="18"/>
              </w:rPr>
              <w:t>−0.056</w:t>
            </w:r>
          </w:p>
        </w:tc>
        <w:tc>
          <w:tcPr>
            <w:tcW w:type="dxa" w:w="1872"/>
          </w:tcPr>
          <w:p>
            <w:pPr>
              <w:keepNext/>
              <w:jc w:val="center"/>
            </w:pPr>
            <w:r>
              <w:rPr>
                <w:rFonts w:ascii="Times New Roman" w:hAnsi="Times New Roman"/>
                <w:sz w:val="18"/>
              </w:rPr>
            </w:r>
            <w:r>
              <w:rPr>
                <w:rFonts w:ascii="Times New Roman" w:hAnsi="Times New Roman"/>
                <w:b w:val="0"/>
                <w:sz w:val="18"/>
              </w:rPr>
              <w:t>−0.030</w:t>
            </w:r>
          </w:p>
        </w:tc>
        <w:tc>
          <w:tcPr>
            <w:tcW w:type="dxa" w:w="1872"/>
          </w:tcPr>
          <w:p>
            <w:pPr>
              <w:keepNext/>
              <w:jc w:val="center"/>
            </w:pPr>
            <w:r>
              <w:rPr>
                <w:rFonts w:ascii="Times New Roman" w:hAnsi="Times New Roman"/>
                <w:sz w:val="18"/>
              </w:rPr>
            </w:r>
            <w:r>
              <w:rPr>
                <w:rFonts w:ascii="Times New Roman" w:hAnsi="Times New Roman"/>
                <w:b w:val="0"/>
                <w:sz w:val="18"/>
              </w:rPr>
              <w:t>−0.009</w:t>
            </w:r>
          </w:p>
        </w:tc>
        <w:tc>
          <w:tcPr>
            <w:tcW w:type="dxa" w:w="1872"/>
          </w:tcPr>
          <w:p>
            <w:pPr>
              <w:keepNext/>
              <w:jc w:val="center"/>
            </w:pPr>
            <w:r>
              <w:rPr>
                <w:rFonts w:ascii="Times New Roman" w:hAnsi="Times New Roman"/>
                <w:sz w:val="18"/>
              </w:rPr>
            </w:r>
            <w:r>
              <w:rPr>
                <w:rFonts w:ascii="Times New Roman" w:hAnsi="Times New Roman"/>
                <w:b w:val="0"/>
                <w:sz w:val="18"/>
              </w:rPr>
              <w:t>−0.003</w:t>
            </w:r>
          </w:p>
        </w:tc>
      </w:tr>
      <w:tr>
        <w:tc>
          <w:tcPr>
            <w:tcW w:type="dxa" w:w="1872"/>
          </w:tcPr>
          <w:p>
            <w:pPr>
              <w:keepNext/>
              <w:jc w:val="left"/>
            </w:pPr>
            <w:r>
              <w:rPr>
                <w:rFonts w:ascii="Times New Roman" w:hAnsi="Times New Roman"/>
                <w:sz w:val="18"/>
              </w:rPr>
            </w:r>
            <w:r>
              <w:rPr>
                <w:rFonts w:ascii="Times New Roman" w:hAnsi="Times New Roman"/>
                <w:b w:val="0"/>
                <w:sz w:val="18"/>
              </w:rPr>
              <w:t>AUC</w:t>
            </w:r>
          </w:p>
        </w:tc>
        <w:tc>
          <w:tcPr>
            <w:tcW w:type="dxa" w:w="1872"/>
          </w:tcPr>
          <w:p>
            <w:pPr>
              <w:keepNext/>
              <w:jc w:val="center"/>
            </w:pPr>
            <w:r>
              <w:rPr>
                <w:rFonts w:ascii="Times New Roman" w:hAnsi="Times New Roman"/>
                <w:sz w:val="18"/>
              </w:rPr>
            </w:r>
            <w:r>
              <w:rPr>
                <w:rFonts w:ascii="Times New Roman" w:hAnsi="Times New Roman"/>
                <w:b w:val="0"/>
                <w:sz w:val="18"/>
              </w:rPr>
              <w:t>−0.0040</w:t>
            </w:r>
          </w:p>
        </w:tc>
        <w:tc>
          <w:tcPr>
            <w:tcW w:type="dxa" w:w="1872"/>
          </w:tcPr>
          <w:p>
            <w:pPr>
              <w:keepNext/>
              <w:jc w:val="center"/>
            </w:pPr>
            <w:r>
              <w:rPr>
                <w:rFonts w:ascii="Times New Roman" w:hAnsi="Times New Roman"/>
                <w:sz w:val="18"/>
              </w:rPr>
            </w:r>
            <w:r>
              <w:rPr>
                <w:rFonts w:ascii="Times New Roman" w:hAnsi="Times New Roman"/>
                <w:b w:val="0"/>
                <w:sz w:val="18"/>
              </w:rPr>
              <w:t>−0.0057</w:t>
            </w:r>
          </w:p>
        </w:tc>
        <w:tc>
          <w:tcPr>
            <w:tcW w:type="dxa" w:w="1872"/>
          </w:tcPr>
          <w:p>
            <w:pPr>
              <w:keepNext/>
              <w:jc w:val="center"/>
            </w:pPr>
            <w:r>
              <w:rPr>
                <w:rFonts w:ascii="Times New Roman" w:hAnsi="Times New Roman"/>
                <w:sz w:val="18"/>
              </w:rPr>
            </w:r>
            <w:r>
              <w:rPr>
                <w:rFonts w:ascii="Times New Roman" w:hAnsi="Times New Roman"/>
                <w:b w:val="0"/>
                <w:sz w:val="18"/>
              </w:rPr>
              <w:t>−0.0015</w:t>
            </w:r>
          </w:p>
        </w:tc>
        <w:tc>
          <w:tcPr>
            <w:tcW w:type="dxa" w:w="1872"/>
          </w:tcPr>
          <w:p>
            <w:pPr>
              <w:keepNext/>
              <w:jc w:val="center"/>
            </w:pPr>
            <w:r>
              <w:rPr>
                <w:rFonts w:ascii="Times New Roman" w:hAnsi="Times New Roman"/>
                <w:sz w:val="18"/>
              </w:rPr>
            </w:r>
            <w:r>
              <w:rPr>
                <w:rFonts w:ascii="Times New Roman" w:hAnsi="Times New Roman"/>
                <w:b w:val="0"/>
                <w:sz w:val="18"/>
              </w:rPr>
              <w:t>−0.0011</w:t>
            </w:r>
          </w:p>
        </w:tc>
      </w:tr>
    </w:tbl>
    <w:p>
      <w:pPr>
        <w:spacing w:before="60" w:after="200"/>
        <w:jc w:val="left"/>
      </w:pPr>
      <w:r>
        <w:rPr>
          <w:b w:val="0"/>
          <w:i/>
          <w:sz w:val="18"/>
        </w:rPr>
        <w:t>Table 10. Per-class cost of masking.</w:t>
      </w:r>
    </w:p>
    <w:p>
      <w:r>
        <w:rPr>
          <w:b w:val="0"/>
        </w:rPr>
        <w:t xml:space="preserve">The score does not collapse, which </w:t>
      </w:r>
      <w:r>
        <w:rPr>
          <w:b/>
        </w:rPr>
        <w:t>rules out</w:t>
      </w:r>
      <w:r>
        <w:rPr>
          <w:b w:val="0"/>
        </w:rPr>
        <w:t xml:space="preserve"> the crude shortcut: the model is not simply reading annotations or background, because those are gone and it still achieves 0.934. But the per-class F1 losses are grossly unequal. COVID-19 loses six times what the normal class loses and nearly twenty times what pneumonia loses, and its recall falls from 0.976 to 0.911. It is the only class with unique provenance, and it is the class with the most to lose. An earlier three-class version of this experiment found the same ordering at half the magnitude, so the effect has reproduced across two class definitions.</w:t>
      </w:r>
    </w:p>
    <w:p>
      <w:r>
        <w:rPr>
          <w:b/>
        </w:rPr>
        <w:t>The AUC row qualifies this and should be reported with it.</w:t>
      </w:r>
      <w:r>
        <w:rPr>
          <w:b w:val="0"/>
        </w:rPr>
        <w:t xml:space="preserve"> Macro AUC falls only 0.0030 where macro F1 falls 0.0246, and on AUC the per-class ordering does not hold — lung opacity loses marginally more than COVID-19. Most of what masking costs the COVID-19 class is therefore the placement of the decision boundary rather than the separability of the class itself. We state this because the F1 row alone supports a stronger claim than the evidence warrants.</w:t>
      </w:r>
    </w:p>
    <w:p>
      <w:r>
        <w:rPr>
          <w:b/>
        </w:rPr>
        <w:t>Neither explanation detects any of this, and this is the paper’s central negative result.</w:t>
      </w:r>
      <w:r>
        <w:rPr>
          <w:b w:val="0"/>
        </w:rPr>
        <w:t xml:space="preserve"> Acquisition signature is present inside the lung fields — in noise characteristics and processing response — as is the lung silhouette itself, and a paediatric chest differs in outline from an adult one, which alone separates the paediatric pneumonia collection from the adult European COVID-19 series. A model reading provenance rather than pathology therefore produces heatmaps that fall on the lungs and look entirely reasonable. Our enrichment figure of 1.359 is consistent with a model reading pathology and equally consistent with one reading scanner. SHAP fares no better: its baseline is the mean training feature vector, so it measures deviation from the average image in this dataset, and a large contribution is as consistent with “unlike the typical scanner here” as with “unlike a healthy lung”.</w:t>
      </w:r>
    </w:p>
    <w:p>
      <w:r>
        <w:rPr>
          <w:b/>
        </w:rPr>
        <w:t>Heat on the lungs is necessary, not sufficient.</w:t>
      </w:r>
      <w:r>
        <w:rPr>
          <w:b w:val="0"/>
        </w:rPr>
        <w:t xml:space="preserve"> The verification role routinely assigned to Grad-CAM in the clinical XAI literature — that a clinician can confirm the model used genuine evidence by inspecting the map — is not supported by these measurements. The confound that most threatens this dataset is invisible to both explanation methods applied to it.</w:t>
      </w:r>
    </w:p>
    <w:p>
      <w:r>
        <w:rPr>
          <w:b/>
        </w:rPr>
        <w:t>Cross-dataset validation, and why it does not settle the question.</w:t>
      </w:r>
      <w:r>
        <w:rPr>
          <w:b w:val="0"/>
        </w:rPr>
        <w:t xml:space="preserve"> Scoring against a second public dataset appears to be the obvious remedy, and done naively it measures nothing: a widely used second Kaggle compilation shares </w:t>
      </w:r>
      <w:r>
        <w:rPr>
          <w:b/>
        </w:rPr>
        <w:t>24.0%</w:t>
      </w:r>
      <w:r>
        <w:rPr>
          <w:b w:val="0"/>
        </w:rPr>
        <w:t xml:space="preserve"> of its 6,432 images with this model’s training split, and </w:t>
      </w:r>
      <w:r>
        <w:rPr>
          <w:b/>
        </w:rPr>
        <w:t>none of those matches by checksum</w:t>
      </w:r>
      <w:r>
        <w:rPr>
          <w:b w:val="0"/>
        </w:rPr>
        <w:t>, every copy having been resized or re-encoded in compilation. A hash comparison reports two independent datasets.</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tcPr>
          <w:p>
            <w:pPr>
              <w:keepNext/>
              <w:jc w:val="center"/>
            </w:pPr>
            <w:r/>
            <w:r>
              <w:rPr>
                <w:rFonts w:ascii="Times New Roman" w:hAnsi="Times New Roman"/>
                <w:b/>
                <w:sz w:val="18"/>
              </w:rPr>
              <w:t>Partition</w:t>
            </w:r>
          </w:p>
        </w:tc>
        <w:tc>
          <w:tcPr>
            <w:tcW w:type="dxa" w:w="2340"/>
          </w:tcPr>
          <w:p>
            <w:pPr>
              <w:keepNext/>
              <w:jc w:val="center"/>
            </w:pPr>
            <w:r/>
            <w:r>
              <w:rPr>
                <w:rFonts w:ascii="Times New Roman" w:hAnsi="Times New Roman"/>
                <w:b/>
                <w:sz w:val="18"/>
              </w:rPr>
              <w:t>Images</w:t>
            </w:r>
          </w:p>
        </w:tc>
        <w:tc>
          <w:tcPr>
            <w:tcW w:type="dxa" w:w="2340"/>
          </w:tcPr>
          <w:p>
            <w:pPr>
              <w:keepNext/>
              <w:jc w:val="center"/>
            </w:pPr>
            <w:r/>
            <w:r>
              <w:rPr>
                <w:rFonts w:ascii="Times New Roman" w:hAnsi="Times New Roman"/>
                <w:b/>
                <w:sz w:val="18"/>
              </w:rPr>
              <w:t>Macro F1</w:t>
            </w:r>
          </w:p>
        </w:tc>
        <w:tc>
          <w:tcPr>
            <w:tcW w:type="dxa" w:w="2340"/>
          </w:tcPr>
          <w:p>
            <w:pPr>
              <w:keepNext/>
              <w:jc w:val="center"/>
            </w:pPr>
            <w:r/>
            <w:r>
              <w:rPr>
                <w:rFonts w:ascii="Times New Roman" w:hAnsi="Times New Roman"/>
                <w:b/>
                <w:sz w:val="18"/>
              </w:rPr>
              <w:t>Accuracy</w:t>
            </w:r>
          </w:p>
        </w:tc>
      </w:tr>
      <w:tr>
        <w:tc>
          <w:tcPr>
            <w:tcW w:type="dxa" w:w="2340"/>
          </w:tcPr>
          <w:p>
            <w:pPr>
              <w:keepNext/>
              <w:jc w:val="left"/>
            </w:pPr>
            <w:r>
              <w:rPr>
                <w:rFonts w:ascii="Times New Roman" w:hAnsi="Times New Roman"/>
                <w:sz w:val="18"/>
              </w:rPr>
            </w:r>
            <w:r>
              <w:rPr>
                <w:rFonts w:ascii="Times New Roman" w:hAnsi="Times New Roman"/>
                <w:b w:val="0"/>
                <w:sz w:val="18"/>
              </w:rPr>
              <w:t>All, contaminated</w:t>
            </w:r>
          </w:p>
        </w:tc>
        <w:tc>
          <w:tcPr>
            <w:tcW w:type="dxa" w:w="2340"/>
          </w:tcPr>
          <w:p>
            <w:pPr>
              <w:keepNext/>
              <w:jc w:val="center"/>
            </w:pPr>
            <w:r>
              <w:rPr>
                <w:rFonts w:ascii="Times New Roman" w:hAnsi="Times New Roman"/>
                <w:sz w:val="18"/>
              </w:rPr>
            </w:r>
            <w:r>
              <w:rPr>
                <w:rFonts w:ascii="Times New Roman" w:hAnsi="Times New Roman"/>
                <w:b w:val="0"/>
                <w:sz w:val="18"/>
              </w:rPr>
              <w:t>6,432</w:t>
            </w:r>
          </w:p>
        </w:tc>
        <w:tc>
          <w:tcPr>
            <w:tcW w:type="dxa" w:w="2340"/>
          </w:tcPr>
          <w:p>
            <w:pPr>
              <w:keepNext/>
              <w:jc w:val="center"/>
            </w:pPr>
            <w:r>
              <w:rPr>
                <w:rFonts w:ascii="Times New Roman" w:hAnsi="Times New Roman"/>
                <w:sz w:val="18"/>
              </w:rPr>
            </w:r>
            <w:r>
              <w:rPr>
                <w:rFonts w:ascii="Times New Roman" w:hAnsi="Times New Roman"/>
                <w:b w:val="0"/>
                <w:sz w:val="18"/>
              </w:rPr>
              <w:t>0.9492</w:t>
            </w:r>
          </w:p>
        </w:tc>
        <w:tc>
          <w:tcPr>
            <w:tcW w:type="dxa" w:w="2340"/>
          </w:tcPr>
          <w:p>
            <w:pPr>
              <w:keepNext/>
              <w:jc w:val="center"/>
            </w:pPr>
            <w:r>
              <w:rPr>
                <w:rFonts w:ascii="Times New Roman" w:hAnsi="Times New Roman"/>
                <w:sz w:val="18"/>
              </w:rPr>
            </w:r>
            <w:r>
              <w:rPr>
                <w:rFonts w:ascii="Times New Roman" w:hAnsi="Times New Roman"/>
                <w:b w:val="0"/>
                <w:sz w:val="18"/>
              </w:rPr>
              <w:t>0.9667</w:t>
            </w:r>
          </w:p>
        </w:tc>
      </w:tr>
      <w:tr>
        <w:tc>
          <w:tcPr>
            <w:tcW w:type="dxa" w:w="2340"/>
          </w:tcPr>
          <w:p>
            <w:pPr>
              <w:keepNext/>
              <w:jc w:val="left"/>
            </w:pPr>
            <w:r>
              <w:rPr>
                <w:rFonts w:ascii="Times New Roman" w:hAnsi="Times New Roman"/>
                <w:sz w:val="18"/>
              </w:rPr>
            </w:r>
            <w:r>
              <w:rPr>
                <w:rFonts w:ascii="Times New Roman" w:hAnsi="Times New Roman"/>
                <w:b w:val="0"/>
                <w:sz w:val="18"/>
              </w:rPr>
              <w:t>Overlapping only (control)</w:t>
            </w:r>
          </w:p>
        </w:tc>
        <w:tc>
          <w:tcPr>
            <w:tcW w:type="dxa" w:w="2340"/>
          </w:tcPr>
          <w:p>
            <w:pPr>
              <w:keepNext/>
              <w:jc w:val="center"/>
            </w:pPr>
            <w:r>
              <w:rPr>
                <w:rFonts w:ascii="Times New Roman" w:hAnsi="Times New Roman"/>
                <w:sz w:val="18"/>
              </w:rPr>
            </w:r>
            <w:r>
              <w:rPr>
                <w:rFonts w:ascii="Times New Roman" w:hAnsi="Times New Roman"/>
                <w:b w:val="0"/>
                <w:sz w:val="18"/>
              </w:rPr>
              <w:t>1,545</w:t>
            </w:r>
          </w:p>
        </w:tc>
        <w:tc>
          <w:tcPr>
            <w:tcW w:type="dxa" w:w="2340"/>
          </w:tcPr>
          <w:p>
            <w:pPr>
              <w:keepNext/>
              <w:jc w:val="center"/>
            </w:pPr>
            <w:r>
              <w:rPr>
                <w:rFonts w:ascii="Times New Roman" w:hAnsi="Times New Roman"/>
                <w:sz w:val="18"/>
              </w:rPr>
            </w:r>
            <w:r>
              <w:rPr>
                <w:rFonts w:ascii="Times New Roman" w:hAnsi="Times New Roman"/>
                <w:b w:val="0"/>
                <w:sz w:val="18"/>
              </w:rPr>
              <w:t>0.9864</w:t>
            </w:r>
          </w:p>
        </w:tc>
        <w:tc>
          <w:tcPr>
            <w:tcW w:type="dxa" w:w="2340"/>
          </w:tcPr>
          <w:p>
            <w:pPr>
              <w:keepNext/>
              <w:jc w:val="center"/>
            </w:pPr>
            <w:r>
              <w:rPr>
                <w:rFonts w:ascii="Times New Roman" w:hAnsi="Times New Roman"/>
                <w:sz w:val="18"/>
              </w:rPr>
            </w:r>
            <w:r>
              <w:rPr>
                <w:rFonts w:ascii="Times New Roman" w:hAnsi="Times New Roman"/>
                <w:b w:val="0"/>
                <w:sz w:val="18"/>
              </w:rPr>
              <w:t>0.9903</w:t>
            </w:r>
          </w:p>
        </w:tc>
      </w:tr>
      <w:tr>
        <w:tc>
          <w:tcPr>
            <w:tcW w:type="dxa" w:w="2340"/>
          </w:tcPr>
          <w:p>
            <w:pPr>
              <w:keepNext/>
              <w:jc w:val="left"/>
            </w:pPr>
            <w:r>
              <w:rPr>
                <w:rFonts w:ascii="Times New Roman" w:hAnsi="Times New Roman"/>
                <w:sz w:val="18"/>
              </w:rPr>
            </w:r>
            <w:r>
              <w:rPr>
                <w:rFonts w:ascii="Times New Roman" w:hAnsi="Times New Roman"/>
                <w:b/>
                <w:sz w:val="18"/>
              </w:rPr>
              <w:t>Clean</w:t>
            </w:r>
          </w:p>
        </w:tc>
        <w:tc>
          <w:tcPr>
            <w:tcW w:type="dxa" w:w="2340"/>
          </w:tcPr>
          <w:p>
            <w:pPr>
              <w:keepNext/>
              <w:jc w:val="center"/>
            </w:pPr>
            <w:r>
              <w:rPr>
                <w:rFonts w:ascii="Times New Roman" w:hAnsi="Times New Roman"/>
                <w:sz w:val="18"/>
              </w:rPr>
            </w:r>
            <w:r>
              <w:rPr>
                <w:rFonts w:ascii="Times New Roman" w:hAnsi="Times New Roman"/>
                <w:b/>
                <w:sz w:val="18"/>
              </w:rPr>
              <w:t>4,887</w:t>
            </w:r>
          </w:p>
        </w:tc>
        <w:tc>
          <w:tcPr>
            <w:tcW w:type="dxa" w:w="2340"/>
          </w:tcPr>
          <w:p>
            <w:pPr>
              <w:keepNext/>
              <w:jc w:val="center"/>
            </w:pPr>
            <w:r>
              <w:rPr>
                <w:rFonts w:ascii="Times New Roman" w:hAnsi="Times New Roman"/>
                <w:sz w:val="18"/>
              </w:rPr>
            </w:r>
            <w:r>
              <w:rPr>
                <w:rFonts w:ascii="Times New Roman" w:hAnsi="Times New Roman"/>
                <w:b/>
                <w:sz w:val="18"/>
              </w:rPr>
              <w:t>0.9252</w:t>
            </w:r>
          </w:p>
        </w:tc>
        <w:tc>
          <w:tcPr>
            <w:tcW w:type="dxa" w:w="2340"/>
          </w:tcPr>
          <w:p>
            <w:pPr>
              <w:keepNext/>
              <w:jc w:val="center"/>
            </w:pPr>
            <w:r>
              <w:rPr>
                <w:rFonts w:ascii="Times New Roman" w:hAnsi="Times New Roman"/>
                <w:sz w:val="18"/>
              </w:rPr>
            </w:r>
            <w:r>
              <w:rPr>
                <w:rFonts w:ascii="Times New Roman" w:hAnsi="Times New Roman"/>
                <w:b w:val="0"/>
                <w:sz w:val="18"/>
              </w:rPr>
              <w:t>0.9593</w:t>
            </w:r>
          </w:p>
        </w:tc>
      </w:tr>
    </w:tbl>
    <w:p>
      <w:pPr>
        <w:spacing w:before="60" w:after="200"/>
        <w:jc w:val="left"/>
      </w:pPr>
      <w:r>
        <w:rPr>
          <w:b w:val="0"/>
          <w:i/>
          <w:sz w:val="18"/>
        </w:rPr>
        <w:t>Table 11. Second-dataset scoring after partitioning by overlap.</w:t>
      </w:r>
    </w:p>
    <w:p>
      <w:r>
        <w:rPr>
          <w:b w:val="0"/>
        </w:rPr>
        <w:t xml:space="preserve">Leaving the contamination in was worth a spurious +0.0240 macro F1. But </w:t>
      </w:r>
      <w:r>
        <w:rPr>
          <w:b/>
        </w:rPr>
        <w:t>this is still not the required experiment.</w:t>
      </w:r>
      <w:r>
        <w:rPr>
          <w:b w:val="0"/>
        </w:rPr>
        <w:t xml:space="preserve"> Both datasets are compiled from the same public archives, so much of the clean remainder plausibly originates from the same collections as the training data. What this establishes is that the model does not collapse on unseen images from a differently assembled compilation. It does not establish that the model reads pathology. Only a COVID-19 cohort from hospitals where provenance does not predict the label can settle that, and we identify it as the necessary next experiment.</w:t>
      </w:r>
    </w:p>
    <w:p>
      <w:pPr>
        <w:pStyle w:val="Heading2"/>
        <w:jc w:val="left"/>
      </w:pPr>
      <w:r>
        <w:t>4.6 Abstention</w:t>
      </w:r>
    </w:p>
    <w:p>
      <w:r>
        <w:rPr>
          <w:b w:val="0"/>
        </w:rPr>
        <w:t>A softmax over a fixed class list normalises whatever it is given, so an input unlike anything in training does not return an uncertain answer; it returns a confident wrong one. Against the trained ResNet18, a flat grey square is classified COVID-19 at 99.42%, uniform noise at 100.00%, and a page of text at 99.98% — none flagged by any confidence threshold, because there is no uncertainty present to threshold.</w:t>
      </w:r>
    </w:p>
    <w:p>
      <w:r>
        <w:rPr>
          <w:b w:val="0"/>
        </w:rPr>
        <w:t xml:space="preserve">We fit a Mahalanobis-distance detector over the penultimate features following Lee et al. [9]: one Gaussian per class with a tied, Ledoit-Wolf-shrunk covariance, fitted on the training split and calibrated on validation. </w:t>
      </w:r>
      <w:r>
        <w:rPr>
          <w:b/>
        </w:rPr>
        <w:t>Thresholds are per class</w:t>
      </w:r>
      <w:r>
        <w:rPr>
          <w:b w:val="0"/>
        </w:rPr>
        <w:t>, applied by whichever class an input is nearest. This is not a detail: a single pooled 95th-percentile cutoff, measured on the three-class model, reported a reassuring 4.5% false-reject rate while actually rejecting 30.2% of genuine pneumonia films and 0.4% of normal ones, the pooled figure having been set by the majority class.</w:t>
      </w:r>
    </w:p>
    <w:tbl>
      <w:tblPr>
        <w:tblStyle w:val="TableGrid"/>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1560"/>
          </w:tcPr>
          <w:p>
            <w:pPr>
              <w:keepNext/>
              <w:jc w:val="center"/>
            </w:pPr>
            <w:r/>
            <w:r>
              <w:rPr>
                <w:rFonts w:ascii="Times New Roman" w:hAnsi="Times New Roman"/>
                <w:b/>
                <w:sz w:val="18"/>
              </w:rPr>
              <w:t>Class</w:t>
            </w:r>
          </w:p>
        </w:tc>
        <w:tc>
          <w:tcPr>
            <w:tcW w:type="dxa" w:w="1560"/>
          </w:tcPr>
          <w:p>
            <w:pPr>
              <w:keepNext/>
              <w:jc w:val="center"/>
            </w:pPr>
            <w:r/>
            <w:r>
              <w:rPr>
                <w:rFonts w:ascii="Times New Roman" w:hAnsi="Times New Roman"/>
                <w:b/>
                <w:sz w:val="18"/>
              </w:rPr>
              <w:t>R18 cutoff</w:t>
            </w:r>
          </w:p>
        </w:tc>
        <w:tc>
          <w:tcPr>
            <w:tcW w:type="dxa" w:w="1560"/>
          </w:tcPr>
          <w:p>
            <w:pPr>
              <w:keepNext/>
              <w:jc w:val="center"/>
            </w:pPr>
            <w:r/>
            <w:r>
              <w:rPr>
                <w:rFonts w:ascii="Times New Roman" w:hAnsi="Times New Roman"/>
                <w:b/>
                <w:sz w:val="18"/>
              </w:rPr>
              <w:t>R18 rejected (test)</w:t>
            </w:r>
          </w:p>
        </w:tc>
        <w:tc>
          <w:tcPr>
            <w:tcW w:type="dxa" w:w="1560"/>
          </w:tcPr>
          <w:p>
            <w:pPr>
              <w:keepNext/>
              <w:jc w:val="center"/>
            </w:pPr>
            <w:r/>
            <w:r>
              <w:rPr>
                <w:rFonts w:ascii="Times New Roman" w:hAnsi="Times New Roman"/>
                <w:b/>
                <w:sz w:val="18"/>
              </w:rPr>
              <w:t>R18 rejected (2nd set)</w:t>
            </w:r>
          </w:p>
        </w:tc>
        <w:tc>
          <w:tcPr>
            <w:tcW w:type="dxa" w:w="1560"/>
          </w:tcPr>
          <w:p>
            <w:pPr>
              <w:keepNext/>
              <w:jc w:val="center"/>
            </w:pPr>
            <w:r/>
            <w:r>
              <w:rPr>
                <w:rFonts w:ascii="Times New Roman" w:hAnsi="Times New Roman"/>
                <w:b/>
                <w:sz w:val="18"/>
              </w:rPr>
              <w:t>R50 cutoff</w:t>
            </w:r>
          </w:p>
        </w:tc>
        <w:tc>
          <w:tcPr>
            <w:tcW w:type="dxa" w:w="1560"/>
          </w:tcPr>
          <w:p>
            <w:pPr>
              <w:keepNext/>
              <w:jc w:val="center"/>
            </w:pPr>
            <w:r/>
            <w:r>
              <w:rPr>
                <w:rFonts w:ascii="Times New Roman" w:hAnsi="Times New Roman"/>
                <w:b/>
                <w:sz w:val="18"/>
              </w:rPr>
              <w:t>R50 rejected (test)</w:t>
            </w:r>
          </w:p>
        </w:tc>
      </w:tr>
      <w:tr>
        <w:tc>
          <w:tcPr>
            <w:tcW w:type="dxa" w:w="1560"/>
          </w:tcPr>
          <w:p>
            <w:pPr>
              <w:keepNext/>
              <w:jc w:val="left"/>
            </w:pPr>
            <w:r>
              <w:rPr>
                <w:rFonts w:ascii="Times New Roman" w:hAnsi="Times New Roman"/>
                <w:sz w:val="18"/>
              </w:rPr>
            </w:r>
            <w:r>
              <w:rPr>
                <w:rFonts w:ascii="Times New Roman" w:hAnsi="Times New Roman"/>
                <w:b w:val="0"/>
                <w:sz w:val="18"/>
              </w:rPr>
              <w:t>COVID19</w:t>
            </w:r>
          </w:p>
        </w:tc>
        <w:tc>
          <w:tcPr>
            <w:tcW w:type="dxa" w:w="1560"/>
          </w:tcPr>
          <w:p>
            <w:pPr>
              <w:keepNext/>
              <w:jc w:val="center"/>
            </w:pPr>
            <w:r>
              <w:rPr>
                <w:rFonts w:ascii="Times New Roman" w:hAnsi="Times New Roman"/>
                <w:sz w:val="18"/>
              </w:rPr>
            </w:r>
            <w:r>
              <w:rPr>
                <w:rFonts w:ascii="Times New Roman" w:hAnsi="Times New Roman"/>
                <w:b w:val="0"/>
                <w:sz w:val="18"/>
              </w:rPr>
              <w:t>939.8</w:t>
            </w:r>
          </w:p>
        </w:tc>
        <w:tc>
          <w:tcPr>
            <w:tcW w:type="dxa" w:w="1560"/>
          </w:tcPr>
          <w:p>
            <w:pPr>
              <w:keepNext/>
              <w:jc w:val="center"/>
            </w:pPr>
            <w:r>
              <w:rPr>
                <w:rFonts w:ascii="Times New Roman" w:hAnsi="Times New Roman"/>
                <w:sz w:val="18"/>
              </w:rPr>
            </w:r>
            <w:r>
              <w:rPr>
                <w:rFonts w:ascii="Times New Roman" w:hAnsi="Times New Roman"/>
                <w:b w:val="0"/>
                <w:sz w:val="18"/>
              </w:rPr>
              <w:t>6.6%</w:t>
            </w:r>
          </w:p>
        </w:tc>
        <w:tc>
          <w:tcPr>
            <w:tcW w:type="dxa" w:w="1560"/>
          </w:tcPr>
          <w:p>
            <w:pPr>
              <w:keepNext/>
              <w:jc w:val="center"/>
            </w:pPr>
            <w:r>
              <w:rPr>
                <w:rFonts w:ascii="Times New Roman" w:hAnsi="Times New Roman"/>
                <w:sz w:val="18"/>
              </w:rPr>
            </w:r>
            <w:r>
              <w:rPr>
                <w:rFonts w:ascii="Times New Roman" w:hAnsi="Times New Roman"/>
                <w:b w:val="0"/>
                <w:sz w:val="18"/>
              </w:rPr>
              <w:t>9.2%</w:t>
            </w:r>
          </w:p>
        </w:tc>
        <w:tc>
          <w:tcPr>
            <w:tcW w:type="dxa" w:w="1560"/>
          </w:tcPr>
          <w:p>
            <w:pPr>
              <w:keepNext/>
              <w:jc w:val="center"/>
            </w:pPr>
            <w:r>
              <w:rPr>
                <w:rFonts w:ascii="Times New Roman" w:hAnsi="Times New Roman"/>
                <w:sz w:val="18"/>
              </w:rPr>
            </w:r>
            <w:r>
              <w:rPr>
                <w:rFonts w:ascii="Times New Roman" w:hAnsi="Times New Roman"/>
                <w:b w:val="0"/>
                <w:sz w:val="18"/>
              </w:rPr>
              <w:t>4663.8</w:t>
            </w:r>
          </w:p>
        </w:tc>
        <w:tc>
          <w:tcPr>
            <w:tcW w:type="dxa" w:w="1560"/>
          </w:tcPr>
          <w:p>
            <w:pPr>
              <w:keepNext/>
              <w:jc w:val="center"/>
            </w:pPr>
            <w:r>
              <w:rPr>
                <w:rFonts w:ascii="Times New Roman" w:hAnsi="Times New Roman"/>
                <w:sz w:val="18"/>
              </w:rPr>
            </w:r>
            <w:r>
              <w:rPr>
                <w:rFonts w:ascii="Times New Roman" w:hAnsi="Times New Roman"/>
                <w:b w:val="0"/>
                <w:sz w:val="18"/>
              </w:rPr>
              <w:t>3.9%</w:t>
            </w:r>
          </w:p>
        </w:tc>
      </w:tr>
      <w:tr>
        <w:tc>
          <w:tcPr>
            <w:tcW w:type="dxa" w:w="1560"/>
          </w:tcPr>
          <w:p>
            <w:pPr>
              <w:keepNext/>
              <w:jc w:val="left"/>
            </w:pPr>
            <w:r>
              <w:rPr>
                <w:rFonts w:ascii="Times New Roman" w:hAnsi="Times New Roman"/>
                <w:sz w:val="18"/>
              </w:rPr>
            </w:r>
            <w:r>
              <w:rPr>
                <w:rFonts w:ascii="Times New Roman" w:hAnsi="Times New Roman"/>
                <w:b w:val="0"/>
                <w:sz w:val="18"/>
              </w:rPr>
              <w:t>LUNG_OPACITY</w:t>
            </w:r>
          </w:p>
        </w:tc>
        <w:tc>
          <w:tcPr>
            <w:tcW w:type="dxa" w:w="1560"/>
          </w:tcPr>
          <w:p>
            <w:pPr>
              <w:keepNext/>
              <w:jc w:val="center"/>
            </w:pPr>
            <w:r>
              <w:rPr>
                <w:rFonts w:ascii="Times New Roman" w:hAnsi="Times New Roman"/>
                <w:sz w:val="18"/>
              </w:rPr>
            </w:r>
            <w:r>
              <w:rPr>
                <w:rFonts w:ascii="Times New Roman" w:hAnsi="Times New Roman"/>
                <w:b w:val="0"/>
                <w:sz w:val="18"/>
              </w:rPr>
              <w:t>822.5</w:t>
            </w:r>
          </w:p>
        </w:tc>
        <w:tc>
          <w:tcPr>
            <w:tcW w:type="dxa" w:w="1560"/>
          </w:tcPr>
          <w:p>
            <w:pPr>
              <w:keepNext/>
              <w:jc w:val="center"/>
            </w:pPr>
            <w:r>
              <w:rPr>
                <w:rFonts w:ascii="Times New Roman" w:hAnsi="Times New Roman"/>
                <w:sz w:val="18"/>
              </w:rPr>
            </w:r>
            <w:r>
              <w:rPr>
                <w:rFonts w:ascii="Times New Roman" w:hAnsi="Times New Roman"/>
                <w:b w:val="0"/>
                <w:sz w:val="18"/>
              </w:rPr>
              <w:t>5.1%</w:t>
            </w:r>
          </w:p>
        </w:tc>
        <w:tc>
          <w:tcPr>
            <w:tcW w:type="dxa" w:w="1560"/>
          </w:tcPr>
          <w:p>
            <w:pPr>
              <w:keepNext/>
              <w:jc w:val="center"/>
            </w:pPr>
            <w:r>
              <w:rPr>
                <w:rFonts w:ascii="Times New Roman" w:hAnsi="Times New Roman"/>
                <w:sz w:val="18"/>
              </w:rPr>
            </w:r>
            <w:r>
              <w:rPr>
                <w:rFonts w:ascii="Times New Roman" w:hAnsi="Times New Roman"/>
                <w:b w:val="0"/>
                <w:sz w:val="18"/>
              </w:rPr>
              <w:t>not labelled</w:t>
            </w:r>
          </w:p>
        </w:tc>
        <w:tc>
          <w:tcPr>
            <w:tcW w:type="dxa" w:w="1560"/>
          </w:tcPr>
          <w:p>
            <w:pPr>
              <w:keepNext/>
              <w:jc w:val="center"/>
            </w:pPr>
            <w:r>
              <w:rPr>
                <w:rFonts w:ascii="Times New Roman" w:hAnsi="Times New Roman"/>
                <w:sz w:val="18"/>
              </w:rPr>
            </w:r>
            <w:r>
              <w:rPr>
                <w:rFonts w:ascii="Times New Roman" w:hAnsi="Times New Roman"/>
                <w:b w:val="0"/>
                <w:sz w:val="18"/>
              </w:rPr>
              <w:t>4084.0</w:t>
            </w:r>
          </w:p>
        </w:tc>
        <w:tc>
          <w:tcPr>
            <w:tcW w:type="dxa" w:w="1560"/>
          </w:tcPr>
          <w:p>
            <w:pPr>
              <w:keepNext/>
              <w:jc w:val="center"/>
            </w:pPr>
            <w:r>
              <w:rPr>
                <w:rFonts w:ascii="Times New Roman" w:hAnsi="Times New Roman"/>
                <w:sz w:val="18"/>
              </w:rPr>
            </w:r>
            <w:r>
              <w:rPr>
                <w:rFonts w:ascii="Times New Roman" w:hAnsi="Times New Roman"/>
                <w:b w:val="0"/>
                <w:sz w:val="18"/>
              </w:rPr>
              <w:t>5.5%</w:t>
            </w:r>
          </w:p>
        </w:tc>
      </w:tr>
      <w:tr>
        <w:tc>
          <w:tcPr>
            <w:tcW w:type="dxa" w:w="1560"/>
          </w:tcPr>
          <w:p>
            <w:pPr>
              <w:keepNext/>
              <w:jc w:val="left"/>
            </w:pPr>
            <w:r>
              <w:rPr>
                <w:rFonts w:ascii="Times New Roman" w:hAnsi="Times New Roman"/>
                <w:sz w:val="18"/>
              </w:rPr>
            </w:r>
            <w:r>
              <w:rPr>
                <w:rFonts w:ascii="Times New Roman" w:hAnsi="Times New Roman"/>
                <w:b w:val="0"/>
                <w:sz w:val="18"/>
              </w:rPr>
              <w:t>NORMAL</w:t>
            </w:r>
          </w:p>
        </w:tc>
        <w:tc>
          <w:tcPr>
            <w:tcW w:type="dxa" w:w="1560"/>
          </w:tcPr>
          <w:p>
            <w:pPr>
              <w:keepNext/>
              <w:jc w:val="center"/>
            </w:pPr>
            <w:r>
              <w:rPr>
                <w:rFonts w:ascii="Times New Roman" w:hAnsi="Times New Roman"/>
                <w:sz w:val="18"/>
              </w:rPr>
            </w:r>
            <w:r>
              <w:rPr>
                <w:rFonts w:ascii="Times New Roman" w:hAnsi="Times New Roman"/>
                <w:b w:val="0"/>
                <w:sz w:val="18"/>
              </w:rPr>
              <w:t>653.4</w:t>
            </w:r>
          </w:p>
        </w:tc>
        <w:tc>
          <w:tcPr>
            <w:tcW w:type="dxa" w:w="1560"/>
          </w:tcPr>
          <w:p>
            <w:pPr>
              <w:keepNext/>
              <w:jc w:val="center"/>
            </w:pPr>
            <w:r>
              <w:rPr>
                <w:rFonts w:ascii="Times New Roman" w:hAnsi="Times New Roman"/>
                <w:sz w:val="18"/>
              </w:rPr>
            </w:r>
            <w:r>
              <w:rPr>
                <w:rFonts w:ascii="Times New Roman" w:hAnsi="Times New Roman"/>
                <w:b w:val="0"/>
                <w:sz w:val="18"/>
              </w:rPr>
              <w:t>4.1%</w:t>
            </w:r>
          </w:p>
        </w:tc>
        <w:tc>
          <w:tcPr>
            <w:tcW w:type="dxa" w:w="1560"/>
          </w:tcPr>
          <w:p>
            <w:pPr>
              <w:keepNext/>
              <w:jc w:val="center"/>
            </w:pPr>
            <w:r>
              <w:rPr>
                <w:rFonts w:ascii="Times New Roman" w:hAnsi="Times New Roman"/>
                <w:sz w:val="18"/>
              </w:rPr>
            </w:r>
            <w:r>
              <w:rPr>
                <w:rFonts w:ascii="Times New Roman" w:hAnsi="Times New Roman"/>
                <w:b w:val="0"/>
                <w:sz w:val="18"/>
              </w:rPr>
              <w:t>7.3%</w:t>
            </w:r>
          </w:p>
        </w:tc>
        <w:tc>
          <w:tcPr>
            <w:tcW w:type="dxa" w:w="1560"/>
          </w:tcPr>
          <w:p>
            <w:pPr>
              <w:keepNext/>
              <w:jc w:val="center"/>
            </w:pPr>
            <w:r>
              <w:rPr>
                <w:rFonts w:ascii="Times New Roman" w:hAnsi="Times New Roman"/>
                <w:sz w:val="18"/>
              </w:rPr>
            </w:r>
            <w:r>
              <w:rPr>
                <w:rFonts w:ascii="Times New Roman" w:hAnsi="Times New Roman"/>
                <w:b w:val="0"/>
                <w:sz w:val="18"/>
              </w:rPr>
              <w:t>2602.2</w:t>
            </w:r>
          </w:p>
        </w:tc>
        <w:tc>
          <w:tcPr>
            <w:tcW w:type="dxa" w:w="1560"/>
          </w:tcPr>
          <w:p>
            <w:pPr>
              <w:keepNext/>
              <w:jc w:val="center"/>
            </w:pPr>
            <w:r>
              <w:rPr>
                <w:rFonts w:ascii="Times New Roman" w:hAnsi="Times New Roman"/>
                <w:sz w:val="18"/>
              </w:rPr>
            </w:r>
            <w:r>
              <w:rPr>
                <w:rFonts w:ascii="Times New Roman" w:hAnsi="Times New Roman"/>
                <w:b w:val="0"/>
                <w:sz w:val="18"/>
              </w:rPr>
              <w:t>4.6%</w:t>
            </w:r>
          </w:p>
        </w:tc>
      </w:tr>
      <w:tr>
        <w:tc>
          <w:tcPr>
            <w:tcW w:type="dxa" w:w="1560"/>
          </w:tcPr>
          <w:p>
            <w:pPr>
              <w:keepNext/>
              <w:jc w:val="left"/>
            </w:pPr>
            <w:r>
              <w:rPr>
                <w:rFonts w:ascii="Times New Roman" w:hAnsi="Times New Roman"/>
                <w:sz w:val="18"/>
              </w:rPr>
            </w:r>
            <w:r>
              <w:rPr>
                <w:rFonts w:ascii="Times New Roman" w:hAnsi="Times New Roman"/>
                <w:b w:val="0"/>
                <w:sz w:val="18"/>
              </w:rPr>
              <w:t>PNEUMONIA</w:t>
            </w:r>
          </w:p>
        </w:tc>
        <w:tc>
          <w:tcPr>
            <w:tcW w:type="dxa" w:w="1560"/>
          </w:tcPr>
          <w:p>
            <w:pPr>
              <w:keepNext/>
              <w:jc w:val="center"/>
            </w:pPr>
            <w:r>
              <w:rPr>
                <w:rFonts w:ascii="Times New Roman" w:hAnsi="Times New Roman"/>
                <w:sz w:val="18"/>
              </w:rPr>
            </w:r>
            <w:r>
              <w:rPr>
                <w:rFonts w:ascii="Times New Roman" w:hAnsi="Times New Roman"/>
                <w:b w:val="0"/>
                <w:sz w:val="18"/>
              </w:rPr>
              <w:t>1310.4</w:t>
            </w:r>
          </w:p>
        </w:tc>
        <w:tc>
          <w:tcPr>
            <w:tcW w:type="dxa" w:w="1560"/>
          </w:tcPr>
          <w:p>
            <w:pPr>
              <w:keepNext/>
              <w:jc w:val="center"/>
            </w:pPr>
            <w:r>
              <w:rPr>
                <w:rFonts w:ascii="Times New Roman" w:hAnsi="Times New Roman"/>
                <w:sz w:val="18"/>
              </w:rPr>
            </w:r>
            <w:r>
              <w:rPr>
                <w:rFonts w:ascii="Times New Roman" w:hAnsi="Times New Roman"/>
                <w:b w:val="0"/>
                <w:sz w:val="18"/>
              </w:rPr>
              <w:t>6.4%</w:t>
            </w:r>
          </w:p>
        </w:tc>
        <w:tc>
          <w:tcPr>
            <w:tcW w:type="dxa" w:w="1560"/>
          </w:tcPr>
          <w:p>
            <w:pPr>
              <w:keepNext/>
              <w:jc w:val="center"/>
            </w:pPr>
            <w:r>
              <w:rPr>
                <w:rFonts w:ascii="Times New Roman" w:hAnsi="Times New Roman"/>
                <w:sz w:val="18"/>
              </w:rPr>
            </w:r>
            <w:r>
              <w:rPr>
                <w:rFonts w:ascii="Times New Roman" w:hAnsi="Times New Roman"/>
                <w:b w:val="0"/>
                <w:sz w:val="18"/>
              </w:rPr>
              <w:t>6.3%</w:t>
            </w:r>
          </w:p>
        </w:tc>
        <w:tc>
          <w:tcPr>
            <w:tcW w:type="dxa" w:w="1560"/>
          </w:tcPr>
          <w:p>
            <w:pPr>
              <w:keepNext/>
              <w:jc w:val="center"/>
            </w:pPr>
            <w:r>
              <w:rPr>
                <w:rFonts w:ascii="Times New Roman" w:hAnsi="Times New Roman"/>
                <w:sz w:val="18"/>
              </w:rPr>
            </w:r>
            <w:r>
              <w:rPr>
                <w:rFonts w:ascii="Times New Roman" w:hAnsi="Times New Roman"/>
                <w:b w:val="0"/>
                <w:sz w:val="18"/>
              </w:rPr>
              <w:t>6436.5</w:t>
            </w:r>
          </w:p>
        </w:tc>
        <w:tc>
          <w:tcPr>
            <w:tcW w:type="dxa" w:w="1560"/>
          </w:tcPr>
          <w:p>
            <w:pPr>
              <w:keepNext/>
              <w:jc w:val="center"/>
            </w:pPr>
            <w:r>
              <w:rPr>
                <w:rFonts w:ascii="Times New Roman" w:hAnsi="Times New Roman"/>
                <w:sz w:val="18"/>
              </w:rPr>
            </w:r>
            <w:r>
              <w:rPr>
                <w:rFonts w:ascii="Times New Roman" w:hAnsi="Times New Roman"/>
                <w:b/>
                <w:sz w:val="18"/>
              </w:rPr>
              <w:t>8.9%</w:t>
            </w:r>
          </w:p>
        </w:tc>
      </w:tr>
      <w:tr>
        <w:tc>
          <w:tcPr>
            <w:tcW w:type="dxa" w:w="1560"/>
          </w:tcPr>
          <w:p>
            <w:pPr>
              <w:keepNext/>
              <w:jc w:val="left"/>
            </w:pPr>
            <w:r>
              <w:rPr>
                <w:rFonts w:ascii="Times New Roman" w:hAnsi="Times New Roman"/>
                <w:sz w:val="18"/>
              </w:rPr>
            </w:r>
            <w:r>
              <w:rPr>
                <w:rFonts w:ascii="Times New Roman" w:hAnsi="Times New Roman"/>
                <w:b w:val="0"/>
                <w:sz w:val="18"/>
              </w:rPr>
              <w:t>Pooled</w:t>
            </w:r>
          </w:p>
        </w:tc>
        <w:tc>
          <w:tcPr>
            <w:tcW w:type="dxa" w:w="1560"/>
          </w:tcPr>
          <w:p>
            <w:pPr>
              <w:keepNext/>
              <w:jc w:val="center"/>
            </w:pPr>
            <w:r>
              <w:rPr>
                <w:rFonts w:ascii="Times New Roman" w:hAnsi="Times New Roman"/>
                <w:sz w:val="18"/>
              </w:rPr>
            </w:r>
            <w:r>
              <w:rPr>
                <w:rFonts w:ascii="Times New Roman" w:hAnsi="Times New Roman"/>
                <w:b w:val="0"/>
                <w:sz w:val="18"/>
              </w:rPr>
              <w:t>—</w:t>
            </w:r>
          </w:p>
        </w:tc>
        <w:tc>
          <w:tcPr>
            <w:tcW w:type="dxa" w:w="1560"/>
          </w:tcPr>
          <w:p>
            <w:pPr>
              <w:keepNext/>
              <w:jc w:val="center"/>
            </w:pPr>
            <w:r>
              <w:rPr>
                <w:rFonts w:ascii="Times New Roman" w:hAnsi="Times New Roman"/>
                <w:sz w:val="18"/>
              </w:rPr>
            </w:r>
            <w:r>
              <w:rPr>
                <w:rFonts w:ascii="Times New Roman" w:hAnsi="Times New Roman"/>
                <w:b w:val="0"/>
                <w:sz w:val="18"/>
              </w:rPr>
              <w:t>5.0%</w:t>
            </w:r>
          </w:p>
        </w:tc>
        <w:tc>
          <w:tcPr>
            <w:tcW w:type="dxa" w:w="1560"/>
          </w:tcPr>
          <w:p>
            <w:pPr>
              <w:keepNext/>
              <w:jc w:val="center"/>
            </w:pPr>
            <w:r>
              <w:rPr>
                <w:rFonts w:ascii="Times New Roman" w:hAnsi="Times New Roman"/>
                <w:sz w:val="18"/>
              </w:rPr>
            </w:r>
            <w:r>
              <w:rPr>
                <w:rFonts w:ascii="Times New Roman" w:hAnsi="Times New Roman"/>
                <w:b w:val="0"/>
                <w:sz w:val="18"/>
              </w:rPr>
              <w:t>6.7%</w:t>
            </w:r>
          </w:p>
        </w:tc>
        <w:tc>
          <w:tcPr>
            <w:tcW w:type="dxa" w:w="1560"/>
          </w:tcPr>
          <w:p>
            <w:pPr>
              <w:keepNext/>
              <w:jc w:val="center"/>
            </w:pPr>
            <w:r>
              <w:rPr>
                <w:rFonts w:ascii="Times New Roman" w:hAnsi="Times New Roman"/>
                <w:sz w:val="18"/>
              </w:rPr>
            </w:r>
            <w:r>
              <w:rPr>
                <w:rFonts w:ascii="Times New Roman" w:hAnsi="Times New Roman"/>
                <w:b w:val="0"/>
                <w:sz w:val="18"/>
              </w:rPr>
              <w:t>—</w:t>
            </w:r>
          </w:p>
        </w:tc>
        <w:tc>
          <w:tcPr>
            <w:tcW w:type="dxa" w:w="1560"/>
          </w:tcPr>
          <w:p>
            <w:pPr>
              <w:keepNext/>
              <w:jc w:val="center"/>
            </w:pPr>
            <w:r>
              <w:rPr>
                <w:rFonts w:ascii="Times New Roman" w:hAnsi="Times New Roman"/>
                <w:sz w:val="18"/>
              </w:rPr>
            </w:r>
            <w:r>
              <w:rPr>
                <w:rFonts w:ascii="Times New Roman" w:hAnsi="Times New Roman"/>
                <w:b w:val="0"/>
                <w:sz w:val="18"/>
              </w:rPr>
              <w:t>5.0%</w:t>
            </w:r>
          </w:p>
        </w:tc>
      </w:tr>
    </w:tbl>
    <w:p>
      <w:pPr>
        <w:spacing w:before="60" w:after="200"/>
        <w:jc w:val="left"/>
      </w:pPr>
      <w:r>
        <w:rPr>
          <w:b w:val="0"/>
          <w:i/>
          <w:sz w:val="18"/>
        </w:rPr>
        <w:t>Table 12. Calibrated cutoffs and the cost of the check.</w:t>
      </w:r>
    </w:p>
    <w:p>
      <w:r>
        <w:rPr>
          <w:b w:val="0"/>
        </w:rPr>
        <w:t xml:space="preserve">All six non-radiograph probes are rejected by a wide margin. Three properties of this table are worth stating explicitly. </w:t>
      </w:r>
      <w:r>
        <w:rPr>
          <w:b/>
        </w:rPr>
        <w:t>The cutoffs are not comparable between the two models</w:t>
      </w:r>
      <w:r>
        <w:rPr>
          <w:b w:val="0"/>
        </w:rPr>
        <w:t xml:space="preserve">: Mahalanobis distance is measured in 512 dimensions for ResNet18 and 2048 for ResNet50, so the raw thresholds differ by roughly a factor of four for reasons unrelated to detection quality. Only rejection rates transfer. </w:t>
      </w:r>
      <w:r>
        <w:rPr>
          <w:b/>
        </w:rPr>
        <w:t>The pooled rate is 5.0% for both models by construction</w:t>
      </w:r>
      <w:r>
        <w:rPr>
          <w:b w:val="0"/>
        </w:rPr>
        <w:t xml:space="preserve">, being the complement of the 95th-percentile calibration, and is therefore uninformative; the per-class rows are where the two models differ, and they differ in both directions, with ResNet50 rejecting fewer COVID-19 films and substantially more pneumonia films. Pneumonia is the smallest class in the training set, and the larger model’s abstention is hardest on it — a cost invisible in the pooled figure. </w:t>
      </w:r>
      <w:r>
        <w:rPr>
          <w:b/>
        </w:rPr>
        <w:t>The threshold does not transfer between datasets</w:t>
      </w:r>
      <w:r>
        <w:rPr>
          <w:b w:val="0"/>
        </w:rPr>
        <w:t>: a cutoff calibrated at the 95th percentile on one delivers approximately the 93rd on another, and that second dataset is not even from different hospitals.</w:t>
      </w:r>
    </w:p>
    <w:p>
      <w:r>
        <w:rPr>
          <w:b/>
        </w:rPr>
        <w:t>What abstention does not solve.</w:t>
      </w:r>
      <w:r>
        <w:rPr>
          <w:b w:val="0"/>
        </w:rPr>
        <w:t xml:space="preserve"> The detector answers “unlike the training images”, which is not “not a chest X-ray” and is much further from “the model cannot handle this”. Lung opacity measured that gap: of 600 such films, real radiographs from the same repositories showing a finding the then-three-class model had no output for, only 34.5% were rejected. The remainder were accepted and then classified </w:t>
      </w:r>
      <w:r>
        <w:rPr>
          <w:b/>
        </w:rPr>
        <w:t>NORMAL 94.2% of the time at a mean confidence of 0.972.</w:t>
      </w:r>
      <w:r>
        <w:rPr>
          <w:b w:val="0"/>
        </w:rPr>
        <w:t xml:space="preserve"> That measurement is why lung opacity is a class in the present model. It does not close the gap: effusion, pneumothorax, nodules and fibrosis remain real radiographs that resemble the training data, and will be accepted and assigned the nearest available class — disproportionately, on this evidence, the one a reader is most likely to act on. </w:t>
      </w:r>
      <w:r>
        <w:rPr>
          <w:b/>
        </w:rPr>
        <w:t>NORMAL here means “not the other three”, never “clear”.</w:t>
      </w:r>
    </w:p>
    <w:p>
      <w:pPr>
        <w:pStyle w:val="Heading1"/>
        <w:jc w:val="left"/>
      </w:pPr>
      <w:r>
        <w:t>5. Discussion</w:t>
      </w:r>
    </w:p>
    <w:p>
      <w:r>
        <w:rPr>
          <w:b w:val="0"/>
        </w:rPr>
        <w:t>This work set out to add a dual explainability layer to a chest radiograph classifier and to evaluate it. The evaluation produced a less comfortable result than the design anticipated, and we think the discrepancy is the most useful thing in the paper.</w:t>
      </w:r>
    </w:p>
    <w:p>
      <w:r>
        <w:rPr>
          <w:b/>
        </w:rPr>
        <w:t>The explanations work, in the narrow sense in which they can be tested.</w:t>
      </w:r>
      <w:r>
        <w:rPr>
          <w:b w:val="0"/>
        </w:rPr>
        <w:t xml:space="preserve"> Grad-CAM’s insertion AUC is far above a random ordering on both backbones, its heat is enriched on the lung fields, and SHAP attributions are roughly twice as consistent within a class as across classes. On every measurement we could construct, the two methods are doing something real.</w:t>
      </w:r>
    </w:p>
    <w:p>
      <w:r>
        <w:rPr>
          <w:b/>
        </w:rPr>
        <w:t>They do not do the job the literature assigns them.</w:t>
      </w:r>
      <w:r>
        <w:rPr>
          <w:b w:val="0"/>
        </w:rPr>
        <w:t xml:space="preserve"> The justification for adding XAI to a clinical classifier is normally that a clinician can inspect the explanation and detect a model relying on a spurious correlate. On this dataset the dominant spurious correlate is source archive, we can demonstrate by ablation that the model uses it, and neither explanation shows any sign of it. Grad-CAM cannot, because acquisition signature is present within the lung fields, so a shortcut-driven model produces an anatomically plausible map. SHAP cannot, because its baseline is drawn from the same confounded distribution. A clinician following the recommended procedure would inspect a reasonable-looking heatmap and a coherent attribution profile and conclude, incorrectly, that the prediction was grounded.</w:t>
      </w:r>
    </w:p>
    <w:p>
      <w:r>
        <w:rPr>
          <w:b w:val="0"/>
        </w:rPr>
        <w:t>This is not an argument against explainability. It is an argument that explanation quality and dataset validity are separate axes, that a system can score well on the first while failing on the second, and that XAI work on medical imaging should report a provenance audit alongside its explanations rather than treating explanation as the audit.</w:t>
      </w:r>
    </w:p>
    <w:p>
      <w:r>
        <w:rPr>
          <w:b/>
        </w:rPr>
        <w:t>On methodology.</w:t>
      </w:r>
      <w:r>
        <w:rPr>
          <w:b w:val="0"/>
        </w:rPr>
        <w:t xml:space="preserve"> Three of our findings concern measurement rather than this model, and having two backbones is what makes them checkable rather than anecdotal. First, the deletion metric is unreliable where perturbation drives inputs off-distribution, and the condition is detectable at no extra cost wherever an OOD detector exists; the two networks provide a test rather than an assertion, since the one with more off-distribution perturbations has the more corrupted deletion result while being the better-localised model on insertion. Second, </w:t>
      </w:r>
      <w:r>
        <w:rPr>
          <w:b/>
        </w:rPr>
        <w:t>explanation metrics are not comparable across architectures in raw form.</w:t>
      </w:r>
      <w:r>
        <w:rPr>
          <w:b w:val="0"/>
        </w:rPr>
        <w:t xml:space="preserve"> ResNet50’s raw insertion AUC of 0.8700 exceeds ResNet18’s 0.7764, but its random control is 0.2740 against 0.4364, so the two numbers are measured from different origins; the same applies to attribution similarity, where the within-class cosine halves between models purely because 2048-dimensional vectors are more spread out than 512-dimensional ones, while the ratio to the control barely moves. A comparison of raw figures would report the larger model as both better explained and less consistent, and both conclusions would be artefacts. Third, per-prediction SHAP bar charts should carry the share of total attributed movement they represent.</w:t>
      </w:r>
    </w:p>
    <w:p>
      <w:r>
        <w:rPr>
          <w:b/>
        </w:rPr>
        <w:t>Limitations.</w:t>
      </w:r>
      <w:r>
        <w:rPr>
          <w:b w:val="0"/>
        </w:rPr>
        <w:t xml:space="preserve"> The provenance confound cannot be resolved within this dataset, because the correlation is total by construction; the necessary experiment requires a COVID-19 cohort from hospitals where source does not predict label. Labels derive from dataset compilers under varying and largely undocumented criteria, so agreement with them is not agreement with a diagnosis. Class balance does not reflect prevalence, so no output estimates the probability that a patient has anything. The localisation metric uses lung masks rather than pathology annotations. Explanation fidelity was measured on 200 images per backbone at 50 perturbation steps, on the seed-42 checkpoints only — the seed study covers classification metrics, not explanation metrics, so we cannot say how much of the fidelity difference between backbones is itself run-to-run variance; the two-backbone agreement on the deletion/OOD relationship is likewise two points rather than a trend, and three seeds per arm supports the claim that the capacity difference is not distinguishable from noise but is too few to estimate that noise precisely. And no clinician evaluation was conducted: the usability study proposed in the original design remains outstanding, and our findings raise a specific question for it — whether clinicians shown a plausible heatmap from a shortcut-driven model correctly withhold trust. Our results predict they would not.</w:t>
      </w:r>
    </w:p>
    <w:p>
      <w:pPr>
        <w:pStyle w:val="Heading1"/>
        <w:jc w:val="left"/>
      </w:pPr>
      <w:r>
        <w:t>6. Conclusion and Future Work</w:t>
      </w:r>
    </w:p>
    <w:p>
      <w:r>
        <w:rPr>
          <w:b w:val="0"/>
        </w:rPr>
        <w:t>We built a four-class chest radiograph classifier with a dual explainability pipeline — Grad-CAM for spatial explanation, exact closed-form SHAP for feature attribution — served through a single endpoint, and then measured what the explanations establish. Both backbones reach a macro F1 near 0.955 and a macro AUC near 0.993. Both explanations pass the fidelity tests we could construct. Neither detects the shortcut we can independently prove the model uses, and a 2.1× increase in capacity buys nothing distinguishable from seed noise across three runs per backbone — while doubling the variance between runs — which is what one expects when the shortcut is already exhausted.</w:t>
      </w:r>
    </w:p>
    <w:p>
      <w:r>
        <w:rPr>
          <w:b w:val="0"/>
        </w:rPr>
        <w:t>We also report two methodological findings of wider applicability: that the deletion metric is confounded by distribution shift in a way that is measurable using an out-of-distribution detector, and that explanation metrics require per-model controls before they can be compared across architectures.</w:t>
      </w:r>
    </w:p>
    <w:p>
      <w:r>
        <w:rPr>
          <w:b w:val="0"/>
        </w:rPr>
        <w:t>Future work is, in priority order: validation on a chest radiograph cohort in which acquisition source does not predict the label, which is the only experiment that can settle the central question; explanation fidelity against genuine pathology annotations, using RSNA or NIH bounding boxes; and a clinician study designed specifically to test whether a plausible explanation from a shortcut-driven model induces unwarranted trust.</w:t>
      </w:r>
    </w:p>
    <w:p>
      <w:pPr>
        <w:pStyle w:val="Heading1"/>
        <w:jc w:val="left"/>
      </w:pPr>
      <w:r>
        <w:t>References</w:t>
      </w:r>
    </w:p>
    <w:p>
      <w:pPr>
        <w:spacing w:after="80"/>
        <w:ind w:left="432" w:hanging="432"/>
      </w:pPr>
      <w:r>
        <w:rPr>
          <w:b w:val="0"/>
          <w:sz w:val="20"/>
        </w:rPr>
        <w:t>[1] Selvaraju, R. R., Cogswell, M., Das, A., Vedantam, R., Parikh, D., &amp; Batra, D. (2017). Grad-CAM: Visual explanations from deep networks via gradient-based localization. Proceedings of the IEEE International Conference on Computer Vision (ICCV).</w:t>
      </w:r>
    </w:p>
    <w:p>
      <w:pPr>
        <w:spacing w:after="80"/>
        <w:ind w:left="432" w:hanging="432"/>
      </w:pPr>
      <w:r>
        <w:rPr>
          <w:b w:val="0"/>
          <w:sz w:val="20"/>
        </w:rPr>
        <w:t>[2] Lundberg, S. M., &amp; Lee, S. I. (2017). A unified approach to interpreting model predictions. Advances in Neural Information Processing Systems (NeurIPS).</w:t>
      </w:r>
    </w:p>
    <w:p>
      <w:pPr>
        <w:spacing w:after="80"/>
        <w:ind w:left="432" w:hanging="432"/>
      </w:pPr>
      <w:r>
        <w:rPr>
          <w:b w:val="0"/>
          <w:sz w:val="20"/>
        </w:rPr>
        <w:t>[3] He, K., Zhang, X., Ren, S., &amp; Sun, J. (2016). Deep residual learning for image recognition. Proceedings of the IEEE Conference on Computer Vision and Pattern Recognition (CVPR).</w:t>
      </w:r>
    </w:p>
    <w:p>
      <w:pPr>
        <w:spacing w:after="80"/>
        <w:ind w:left="432" w:hanging="432"/>
      </w:pPr>
      <w:r>
        <w:rPr>
          <w:b w:val="0"/>
          <w:sz w:val="20"/>
        </w:rPr>
        <w:t>[4] Wang, X., Peng, Y., Lu, L., Lu, Z., Bagheri, M., &amp; Summers, R. M. (2017). ChestX-ray8: Hospital-scale chest X-ray database and benchmarks on weakly-supervised classification and localization of common thorax diseases. Proceedings of the IEEE Conference on Computer Vision and Pattern Recognition (CVPR).</w:t>
      </w:r>
    </w:p>
    <w:p>
      <w:pPr>
        <w:spacing w:after="80"/>
        <w:ind w:left="432" w:hanging="432"/>
      </w:pPr>
      <w:r>
        <w:rPr>
          <w:b w:val="0"/>
          <w:sz w:val="20"/>
        </w:rPr>
        <w:t>[5] Irvin, J., Rajpurkar, P., et al. (2019). CheXpert: A large chest radiograph dataset with uncertainty labels and expert comparison. Proceedings of the AAAI Conference on Artificial Intelligence.</w:t>
      </w:r>
    </w:p>
    <w:p>
      <w:pPr>
        <w:spacing w:after="80"/>
        <w:ind w:left="432" w:hanging="432"/>
      </w:pPr>
      <w:r>
        <w:rPr>
          <w:b w:val="0"/>
          <w:sz w:val="20"/>
        </w:rPr>
        <w:t>[6] Ribeiro, M. T., Singh, S., &amp; Guestrin, C. (2016). “Why should I trust you?”: Explaining the predictions of any classifier. Proceedings of the ACM SIGKDD International Conference on Knowledge Discovery and Data Mining.</w:t>
      </w:r>
    </w:p>
    <w:p>
      <w:pPr>
        <w:spacing w:after="80"/>
        <w:ind w:left="432" w:hanging="432"/>
      </w:pPr>
      <w:r>
        <w:rPr>
          <w:b w:val="0"/>
          <w:sz w:val="20"/>
        </w:rPr>
        <w:t>[7] Geirhos, R., Jacobsen, J.-H., Michaelis, C., Zemel, R., Brendel, W., Bethge, M., &amp; Wichmann, F. A. (2020). Shortcut learning in deep neural networks. Nature Machine Intelligence, 2(11), 665–673.</w:t>
      </w:r>
    </w:p>
    <w:p>
      <w:pPr>
        <w:spacing w:after="80"/>
        <w:ind w:left="432" w:hanging="432"/>
      </w:pPr>
      <w:r>
        <w:rPr>
          <w:b w:val="0"/>
          <w:sz w:val="20"/>
        </w:rPr>
        <w:t>[8] Petsiuk, V., Das, A., &amp; Saenko, K. (2018). RISE: Randomized Input Sampling for Explanation of Black-box Models. British Machine Vision Conference (BMVC).</w:t>
      </w:r>
    </w:p>
    <w:p>
      <w:pPr>
        <w:spacing w:after="80"/>
        <w:ind w:left="432" w:hanging="432"/>
      </w:pPr>
      <w:r>
        <w:rPr>
          <w:b w:val="0"/>
          <w:sz w:val="20"/>
        </w:rPr>
        <w:t>[9] Lee, K., Lee, K., Lee, H., &amp; Shin, J. (2018). A Simple Unified Framework for Detecting Out-of-Distribution Samples and Adversarial Attacks. Advances in Neural Information Processing Systems (NeurIPS).</w:t>
      </w:r>
    </w:p>
    <w:p>
      <w:pPr>
        <w:spacing w:after="80"/>
        <w:ind w:left="432" w:hanging="432"/>
      </w:pPr>
      <w:r>
        <w:rPr>
          <w:b w:val="0"/>
          <w:sz w:val="20"/>
        </w:rPr>
        <w:t>[10] DeGrave, A. J., Janizek, J. D., &amp; Lee, S.-I. (2021). AI for radiographic COVID-19 detection selects shortcuts over signal. Nature Machine Intelligence, 3(7), 610–619.</w:t>
      </w:r>
    </w:p>
    <w:p>
      <w:pPr>
        <w:spacing w:after="80"/>
        <w:ind w:left="432" w:hanging="432"/>
      </w:pPr>
      <w:r>
        <w:rPr>
          <w:b w:val="0"/>
          <w:sz w:val="20"/>
        </w:rPr>
        <w:t>[11] Adebayo, J., Gilmer, J., Muelly, M., Goodfellow, I., Hardt, M., &amp; Kim, B. (2018). Sanity Checks for Saliency Maps. Advances in Neural Information Processing Systems (NeurIPS).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