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4E79"/>
          <w:sz w:val="44"/>
          <w:szCs w:val="44"/>
        </w:rPr>
        <w:t xml:space="preserve">Ringkasan Perubahan</w:t>
      </w:r>
    </w:p>
    <w:p>
      <w:pPr>
        <w:spacing w:after="200"/>
        <w:jc w:val="center"/>
      </w:pPr>
      <w:r>
        <w:rPr>
          <w:b/>
          <w:bCs/>
          <w:color w:val="1F4E79"/>
          <w:sz w:val="36"/>
          <w:szCs w:val="36"/>
        </w:rPr>
        <w:t xml:space="preserve">Dokumentasi Refactor SASE</w:t>
      </w:r>
    </w:p>
    <w:p>
      <w:pPr>
        <w:spacing w:after="100"/>
        <w:jc w:val="center"/>
      </w:pPr>
      <w:r>
        <w:rPr>
          <w:color w:val="595959"/>
          <w:sz w:val="28"/>
          <w:szCs w:val="28"/>
        </w:rPr>
        <w:t xml:space="preserve">Hermes Network 360 Guard</w:t>
      </w:r>
    </w:p>
    <w:p>
      <w:pPr>
        <w:spacing w:after="1200"/>
        <w:jc w:val="center"/>
      </w:pPr>
      <w:r>
        <w:rPr>
          <w:i/>
          <w:iCs/>
          <w:color w:val="808080"/>
          <w:sz w:val="24"/>
          <w:szCs w:val="24"/>
        </w:rPr>
        <w:t xml:space="preserve">Konsolidasi Seluruh Iterasi: v1.0 → v1.2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0"/>
        <w:gridCol w:w="6146"/>
      </w:tblGrid>
      <w:tr>
        <w:tc>
          <w:tcPr>
            <w:tcW w:type="dxa" w:w="2880"/>
            <w:tcBorders>
              <w:top w:val="single" w:color="CCCCCC" w:sz="4"/>
              <w:left w:val="single" w:color="CCCCCC" w:sz="4"/>
              <w:bottom w:val="single" w:color="CCCCCC" w:sz="4"/>
              <w:right w:val="single" w:color="CCCCCC" w:sz="4"/>
            </w:tcBorders>
            <w:shd w:fill="D9E2F3" w:val="clear"/>
            <w:tcMar>
              <w:top w:type="dxa" w:w="100"/>
              <w:left w:type="dxa" w:w="140"/>
              <w:bottom w:type="dxa" w:w="100"/>
              <w:right w:type="dxa" w:w="140"/>
            </w:tcMar>
          </w:tcPr>
          <w:p>
            <w:r>
              <w:rPr>
                <w:b/>
                <w:bCs/>
                <w:sz w:val="20"/>
                <w:szCs w:val="20"/>
              </w:rPr>
              <w:t xml:space="preserve">Repositori dokumentasi</w:t>
            </w:r>
          </w:p>
        </w:tc>
        <w:tc>
          <w:tcPr>
            <w:tcW w:type="dxa" w:w="614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onsolas" w:cs="Consolas" w:eastAsia="Consolas" w:hAnsi="Consolas"/>
                <w:sz w:val="20"/>
                <w:szCs w:val="20"/>
              </w:rPr>
              <w:t xml:space="preserve">ardika/hermes-sase-docs</w:t>
            </w:r>
          </w:p>
        </w:tc>
      </w:tr>
      <w:tr>
        <w:tc>
          <w:tcPr>
            <w:tcW w:type="dxa" w:w="2880"/>
            <w:tcBorders>
              <w:top w:val="single" w:color="CCCCCC" w:sz="4"/>
              <w:left w:val="single" w:color="CCCCCC" w:sz="4"/>
              <w:bottom w:val="single" w:color="CCCCCC" w:sz="4"/>
              <w:right w:val="single" w:color="CCCCCC" w:sz="4"/>
            </w:tcBorders>
            <w:shd w:fill="D9E2F3" w:val="clear"/>
            <w:tcMar>
              <w:top w:type="dxa" w:w="100"/>
              <w:left w:type="dxa" w:w="140"/>
              <w:bottom w:type="dxa" w:w="100"/>
              <w:right w:type="dxa" w:w="140"/>
            </w:tcMar>
          </w:tcPr>
          <w:p>
            <w:r>
              <w:rPr>
                <w:b/>
                <w:bCs/>
                <w:sz w:val="20"/>
                <w:szCs w:val="20"/>
              </w:rPr>
              <w:t xml:space="preserve">Site URL</w:t>
            </w:r>
          </w:p>
        </w:tc>
        <w:tc>
          <w:tcPr>
            <w:tcW w:type="dxa" w:w="614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onsolas" w:cs="Consolas" w:eastAsia="Consolas" w:hAnsi="Consolas"/>
                <w:sz w:val="20"/>
                <w:szCs w:val="20"/>
              </w:rPr>
              <w:t xml:space="preserve">https://ardika.github.io/hermes-sase-docs/</w:t>
            </w:r>
          </w:p>
        </w:tc>
      </w:tr>
      <w:tr>
        <w:tc>
          <w:tcPr>
            <w:tcW w:type="dxa" w:w="2880"/>
            <w:tcBorders>
              <w:top w:val="single" w:color="CCCCCC" w:sz="4"/>
              <w:left w:val="single" w:color="CCCCCC" w:sz="4"/>
              <w:bottom w:val="single" w:color="CCCCCC" w:sz="4"/>
              <w:right w:val="single" w:color="CCCCCC" w:sz="4"/>
            </w:tcBorders>
            <w:shd w:fill="D9E2F3" w:val="clear"/>
            <w:tcMar>
              <w:top w:type="dxa" w:w="100"/>
              <w:left w:type="dxa" w:w="140"/>
              <w:bottom w:type="dxa" w:w="100"/>
              <w:right w:type="dxa" w:w="140"/>
            </w:tcMar>
          </w:tcPr>
          <w:p>
            <w:r>
              <w:rPr>
                <w:b/>
                <w:bCs/>
                <w:sz w:val="20"/>
                <w:szCs w:val="20"/>
              </w:rPr>
              <w:t xml:space="preserve">Versi dokumentasi terkini</w:t>
            </w:r>
          </w:p>
        </w:tc>
        <w:tc>
          <w:tcPr>
            <w:tcW w:type="dxa" w:w="614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v1.2 (post-verifikasi schema production)</w:t>
            </w:r>
          </w:p>
        </w:tc>
      </w:tr>
      <w:tr>
        <w:tc>
          <w:tcPr>
            <w:tcW w:type="dxa" w:w="2880"/>
            <w:tcBorders>
              <w:top w:val="single" w:color="CCCCCC" w:sz="4"/>
              <w:left w:val="single" w:color="CCCCCC" w:sz="4"/>
              <w:bottom w:val="single" w:color="CCCCCC" w:sz="4"/>
              <w:right w:val="single" w:color="CCCCCC" w:sz="4"/>
            </w:tcBorders>
            <w:shd w:fill="D9E2F3" w:val="clear"/>
            <w:tcMar>
              <w:top w:type="dxa" w:w="100"/>
              <w:left w:type="dxa" w:w="140"/>
              <w:bottom w:type="dxa" w:w="100"/>
              <w:right w:type="dxa" w:w="140"/>
            </w:tcMar>
          </w:tcPr>
          <w:p>
            <w:r>
              <w:rPr>
                <w:b/>
                <w:bCs/>
                <w:sz w:val="20"/>
                <w:szCs w:val="20"/>
              </w:rPr>
              <w:t xml:space="preserve">Tanggal ringkasan</w:t>
            </w:r>
          </w:p>
        </w:tc>
        <w:tc>
          <w:tcPr>
            <w:tcW w:type="dxa" w:w="614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5 Mei 2026</w:t>
            </w:r>
          </w:p>
        </w:tc>
      </w:tr>
      <w:tr>
        <w:tc>
          <w:tcPr>
            <w:tcW w:type="dxa" w:w="2880"/>
            <w:tcBorders>
              <w:top w:val="single" w:color="CCCCCC" w:sz="4"/>
              <w:left w:val="single" w:color="CCCCCC" w:sz="4"/>
              <w:bottom w:val="single" w:color="CCCCCC" w:sz="4"/>
              <w:right w:val="single" w:color="CCCCCC" w:sz="4"/>
            </w:tcBorders>
            <w:shd w:fill="D9E2F3" w:val="clear"/>
            <w:tcMar>
              <w:top w:type="dxa" w:w="100"/>
              <w:left w:type="dxa" w:w="140"/>
              <w:bottom w:type="dxa" w:w="100"/>
              <w:right w:type="dxa" w:w="140"/>
            </w:tcMar>
          </w:tcPr>
          <w:p>
            <w:r>
              <w:rPr>
                <w:b/>
                <w:bCs/>
                <w:sz w:val="20"/>
                <w:szCs w:val="20"/>
              </w:rPr>
              <w:t xml:space="preserve">Status</w:t>
            </w:r>
          </w:p>
        </w:tc>
        <w:tc>
          <w:tcPr>
            <w:tcW w:type="dxa" w:w="614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Live, build sukses, semua URL HTTP 200</w:t>
            </w:r>
          </w:p>
        </w:tc>
      </w:tr>
      <w:tr>
        <w:tc>
          <w:tcPr>
            <w:tcW w:type="dxa" w:w="2880"/>
            <w:tcBorders>
              <w:top w:val="single" w:color="CCCCCC" w:sz="4"/>
              <w:left w:val="single" w:color="CCCCCC" w:sz="4"/>
              <w:bottom w:val="single" w:color="CCCCCC" w:sz="4"/>
              <w:right w:val="single" w:color="CCCCCC" w:sz="4"/>
            </w:tcBorders>
            <w:shd w:fill="D9E2F3" w:val="clear"/>
            <w:tcMar>
              <w:top w:type="dxa" w:w="100"/>
              <w:left w:type="dxa" w:w="140"/>
              <w:bottom w:type="dxa" w:w="100"/>
              <w:right w:type="dxa" w:w="140"/>
            </w:tcMar>
          </w:tcPr>
          <w:p>
            <w:r>
              <w:rPr>
                <w:b/>
                <w:bCs/>
                <w:sz w:val="20"/>
                <w:szCs w:val="20"/>
              </w:rPr>
              <w:t xml:space="preserve">Komitmen utama</w:t>
            </w:r>
          </w:p>
        </w:tc>
        <w:tc>
          <w:tcPr>
            <w:tcW w:type="dxa" w:w="614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color w:val="C00000"/>
                <w:sz w:val="20"/>
                <w:szCs w:val="20"/>
              </w:rPr>
              <w:t xml:space="preserve">Tidak ada perubahan apa pun ke schema Supabase production</w:t>
            </w:r>
          </w:p>
        </w:tc>
      </w:tr>
    </w:tbl>
    <w:p>
      <w:r>
        <w:br w:type="page"/>
      </w:r>
    </w:p>
    <w:p>
      <w:pPr>
        <w:pStyle w:val="Heading1"/>
        <w:spacing w:after="200" w:before="360"/>
      </w:pPr>
      <w:r>
        <w:t xml:space="preserve">Daftar Isi</w:t>
      </w:r>
    </w:p>
    <w:p>
      <w:pPr>
        <w:pStyle w:val="ListParagraph"/>
        <w:numPr>
          <w:ilvl w:val="0"/>
          <w:numId w:val="2"/>
        </w:numPr>
        <w:spacing w:after="80"/>
      </w:pPr>
      <w:r>
        <w:t xml:space="preserve">1. Pengantar</w:t>
      </w:r>
    </w:p>
    <w:p>
      <w:pPr>
        <w:pStyle w:val="ListParagraph"/>
        <w:numPr>
          <w:ilvl w:val="0"/>
          <w:numId w:val="2"/>
        </w:numPr>
        <w:spacing w:after="80"/>
      </w:pPr>
      <w:r>
        <w:t xml:space="preserve">2. Iterasi v1.0 → Versi Awal</w:t>
      </w:r>
    </w:p>
    <w:p>
      <w:pPr>
        <w:pStyle w:val="ListParagraph"/>
        <w:numPr>
          <w:ilvl w:val="0"/>
          <w:numId w:val="2"/>
        </w:numPr>
        <w:spacing w:after="80"/>
      </w:pPr>
      <w:r>
        <w:t xml:space="preserve">3. Iterasi v1.1 → Tiga Koreksi Kontekstual</w:t>
      </w:r>
    </w:p>
    <w:p>
      <w:pPr>
        <w:pStyle w:val="ListParagraph"/>
        <w:numPr>
          <w:ilvl w:val="0"/>
          <w:numId w:val="2"/>
        </w:numPr>
        <w:spacing w:after="80"/>
      </w:pPr>
      <w:r>
        <w:t xml:space="preserve">4. Iterasi v1.2 → Verifikasi Schema Production</w:t>
      </w:r>
    </w:p>
    <w:p>
      <w:pPr>
        <w:pStyle w:val="ListParagraph"/>
        <w:numPr>
          <w:ilvl w:val="0"/>
          <w:numId w:val="2"/>
        </w:numPr>
        <w:spacing w:after="80"/>
      </w:pPr>
      <w:r>
        <w:t xml:space="preserve">5. Asumsi yang Gugur vs Realitas Production</w:t>
      </w:r>
    </w:p>
    <w:p>
      <w:pPr>
        <w:pStyle w:val="ListParagraph"/>
        <w:numPr>
          <w:ilvl w:val="0"/>
          <w:numId w:val="2"/>
        </w:numPr>
        <w:spacing w:after="80"/>
      </w:pPr>
      <w:r>
        <w:t xml:space="preserve">6. Arsitektur Akhir</w:t>
      </w:r>
    </w:p>
    <w:p>
      <w:pPr>
        <w:pStyle w:val="ListParagraph"/>
        <w:numPr>
          <w:ilvl w:val="0"/>
          <w:numId w:val="2"/>
        </w:numPr>
        <w:spacing w:after="80"/>
      </w:pPr>
      <w:r>
        <w:t xml:space="preserve">7. Statistik Kumulatif</w:t>
      </w:r>
    </w:p>
    <w:p>
      <w:pPr>
        <w:pStyle w:val="ListParagraph"/>
        <w:numPr>
          <w:ilvl w:val="0"/>
          <w:numId w:val="2"/>
        </w:numPr>
        <w:spacing w:after="80"/>
      </w:pPr>
      <w:r>
        <w:t xml:space="preserve">8. Komitmen Tidak Ubah Supabase</w:t>
      </w:r>
    </w:p>
    <w:p>
      <w:pPr>
        <w:pStyle w:val="ListParagraph"/>
        <w:numPr>
          <w:ilvl w:val="0"/>
          <w:numId w:val="2"/>
        </w:numPr>
        <w:spacing w:after="80"/>
      </w:pPr>
      <w:r>
        <w:t xml:space="preserve">9. Tindak Lanjut</w:t>
      </w:r>
    </w:p>
    <w:p>
      <w:pPr>
        <w:pStyle w:val="ListParagraph"/>
        <w:numPr>
          <w:ilvl w:val="0"/>
          <w:numId w:val="2"/>
        </w:numPr>
        <w:spacing w:after="80"/>
      </w:pPr>
      <w:r>
        <w:t xml:space="preserve">10. Penutup</w:t>
      </w:r>
    </w:p>
    <w:p>
      <w:r>
        <w:br w:type="page"/>
      </w:r>
    </w:p>
    <w:p>
      <w:pPr>
        <w:pStyle w:val="Heading1"/>
        <w:spacing w:after="200" w:before="360"/>
      </w:pPr>
      <w:r>
        <w:t xml:space="preserve">1. Pengantar</w:t>
      </w:r>
    </w:p>
    <w:p>
      <w:pPr>
        <w:spacing w:after="120" w:before="0"/>
      </w:pPr>
      <w:r>
        <w:t xml:space="preserve">Dokumen ini merangkum seluruh perubahan yang dilakukan terhadap panduan dokumentasi refactor SASE (Secure Access Service Edge) untuk aplikasi desktop Hermes Network 360 Guard. Dokumentasi awal (v1.0) ditulis berdasarkan praktik umum SASE dengan WireGuard, namun kemudian mengalami dua tahap revisi besar berdasarkan masukan dari tim Hermes Network.</w:t>
      </w:r>
    </w:p>
    <w:p>
      <w:pPr>
        <w:spacing w:after="120" w:before="0"/>
      </w:pPr>
      <w:r>
        <w:t xml:space="preserve">Iterasi v1.1 (Tahap 1) menerapkan tiga koreksi kontekstual mengenai infrastruktur deployment Hermes. Iterasi v1.2 (Tahap 2) memvalidasi seluruh dokumentasi terhadap schema Supabase production yang sebenarnya, sehingga semua rekomendasi yang membutuhkan perubahan database dihapus.</w:t>
      </w:r>
    </w:p>
    <w:p>
      <w:pPr>
        <w:spacing w:after="120" w:before="0"/>
      </w:pPr>
      <w:r>
        <w:t xml:space="preserve">Hasil akhir adalah dokumentasi yang siap dipakai oleh tim engineering untuk memulai implementasi tanpa harus menunggu DBA, tanpa migrasi database, dan tanpa perubahan operasional di sisi Supabase. Audiensi dokumen ini adalah engineering, ops, security, dan stakeholder teknis yang perlu memahami trajectory revisi dokumentasi.</w:t>
      </w:r>
    </w:p>
    <w:p>
      <w:pPr>
        <w:pStyle w:val="Heading1"/>
        <w:spacing w:after="200" w:before="360"/>
      </w:pPr>
      <w:r>
        <w:t xml:space="preserve">2. Iterasi v1.0 — Versi Awal</w:t>
      </w:r>
    </w:p>
    <w:p>
      <w:pPr>
        <w:spacing w:after="120" w:before="0"/>
      </w:pPr>
      <w:r>
        <w:t xml:space="preserve">Versi awal dokumentasi mempresentasikan arsitektur tiga-lapis untuk SASE: (1) `TunnelSupervisor` lokal untuk lifecycle WireGuard, (2) `SaseConfigClient` untuk komunikasi backend, (3) `ConnectionService` orchestrator. WireGuard tetap menjadi data plane; tujuan refactor adalah menambah control plane untuk per-device config, key rotation, identity-aware policy, dan auditability.</w:t>
      </w:r>
    </w:p>
    <w:p>
      <w:pPr>
        <w:spacing w:after="120" w:before="0"/>
      </w:pPr>
      <w:r>
        <w:t xml:space="preserve">Versi ini ditulis dengan asumsi yang lazim untuk Supabase managed dan instalasi WireGuard yang berjalan as admin, tanpa pengetahuan mendalam tentang konstrain spesifik di lingkungan Hermes Network. Kekuatannya: pola arsitektur konsisten dengan dokumentasi TRMM yang juga ada. Kelemahannya: beberapa asumsi tidak sesuai realita.</w:t>
      </w:r>
    </w:p>
    <w:p>
      <w:pPr>
        <w:pStyle w:val="Heading2"/>
        <w:spacing w:after="160" w:before="280"/>
      </w:pPr>
      <w:r>
        <w:t xml:space="preserve">2.1. Asumsi pada v1.0 yang Kemudian Direvisi</w:t>
      </w:r>
    </w:p>
    <w:p>
      <w:pPr>
        <w:pStyle w:val="ListParagraph"/>
        <w:numPr>
          <w:ilvl w:val="0"/>
          <w:numId w:val="2"/>
        </w:numPr>
        <w:spacing w:after="80"/>
      </w:pPr>
      <w:r>
        <w:t xml:space="preserve">Supabase Edge Function tersedia sebagai trust boundary untuk operasi server-side.</w:t>
      </w:r>
    </w:p>
    <w:p>
      <w:pPr>
        <w:pStyle w:val="ListParagraph"/>
        <w:numPr>
          <w:ilvl w:val="0"/>
          <w:numId w:val="2"/>
        </w:numPr>
        <w:spacing w:after="80"/>
      </w:pPr>
      <w:r>
        <w:t xml:space="preserve">Aplikasi desktop berjalan dengan privilege administrator (atau bisa minta UAC tiap operasi).</w:t>
      </w:r>
    </w:p>
    <w:p>
      <w:pPr>
        <w:pStyle w:val="ListParagraph"/>
        <w:numPr>
          <w:ilvl w:val="0"/>
          <w:numId w:val="2"/>
        </w:numPr>
        <w:spacing w:after="80"/>
      </w:pPr>
      <w:r>
        <w:t xml:space="preserve">Ada satu gateway SASE terpusat (sempat disebut n1.ndr24.com) yang dipopulasi oleh control plane vendor.</w:t>
      </w:r>
    </w:p>
    <w:p>
      <w:pPr>
        <w:pStyle w:val="ListParagraph"/>
        <w:numPr>
          <w:ilvl w:val="0"/>
          <w:numId w:val="2"/>
        </w:numPr>
        <w:spacing w:after="80"/>
      </w:pPr>
      <w:r>
        <w:t xml:space="preserve">Schema Supabase dapat diperluas dengan kolom tambahan (wg_config, wg_public_key, wg_status, wg_last_handshake), trigger protect_wg_config, dan tabel sase_peer + sase_audit_log.</w:t>
      </w:r>
    </w:p>
    <w:p>
      <w:pPr>
        <w:pStyle w:val="ListParagraph"/>
        <w:numPr>
          <w:ilvl w:val="0"/>
          <w:numId w:val="2"/>
        </w:numPr>
        <w:spacing w:after="80"/>
      </w:pPr>
      <w:r>
        <w:t xml:space="preserve">Client melakukan generate keypair lokal dan publish public key ke Supabase via UPDATE.</w:t>
      </w:r>
    </w:p>
    <w:p>
      <w:pPr>
        <w:pStyle w:val="ListParagraph"/>
        <w:numPr>
          <w:ilvl w:val="0"/>
          <w:numId w:val="2"/>
        </w:numPr>
        <w:spacing w:after="80"/>
      </w:pPr>
      <w:r>
        <w:t xml:space="preserve">WireGuard config menggunakan PSK, MTU eksplisit, dan PersistentKeepalive.</w:t>
      </w:r>
    </w:p>
    <w:p>
      <w:pPr>
        <w:pStyle w:val="ListParagraph"/>
        <w:numPr>
          <w:ilvl w:val="0"/>
          <w:numId w:val="2"/>
        </w:numPr>
        <w:spacing w:after="80"/>
      </w:pPr>
      <w:r>
        <w:t xml:space="preserve">Realtime subscription tersedia untuk push update saat config berubah.</w:t>
      </w:r>
    </w:p>
    <w:p>
      <w:pPr>
        <w:pStyle w:val="Heading1"/>
        <w:spacing w:after="200" w:before="360"/>
      </w:pPr>
      <w:r>
        <w:t xml:space="preserve">3. Iterasi v1.1 — Tiga Koreksi Kontekstual</w:t>
      </w:r>
    </w:p>
    <w:p>
      <w:pPr>
        <w:spacing w:after="120" w:before="0"/>
      </w:pPr>
      <w:r>
        <w:t xml:space="preserve">Tim Hermes Network memberikan tiga koreksi yang bersifat fundamental terhadap arsitektur deployment:</w:t>
      </w:r>
    </w:p>
    <w:p>
      <w:pPr>
        <w:pStyle w:val="Heading2"/>
        <w:spacing w:after="160" w:before="280"/>
      </w:pPr>
      <w:r>
        <w:t xml:space="preserve">3.1. Koreksi 1 — Supabase Self-Hosted, Tanpa Edge Function</w:t>
      </w:r>
    </w:p>
    <w:p>
      <w:pPr>
        <w:spacing w:after="120" w:before="0"/>
      </w:pPr>
      <w:r>
        <w:t xml:space="preserve">Hermes menggunakan Supabase self-hosted, bukan Supabase managed. Self-hosted tidak menyertakan runtime Deno untuk Edge Functions. Komunikasi backend dilakukan melalui PostgREST langsung dengan Row Level Security, atau melalui REST service standalone bila perlu logika sisi server.</w:t>
      </w:r>
    </w:p>
    <w:p>
      <w:pPr>
        <w:pStyle w:val="Heading2"/>
        <w:spacing w:after="160" w:before="280"/>
      </w:pPr>
      <w:r>
        <w:t xml:space="preserve">3.2. Koreksi 2 — Aplikasi Desktop Tidak Berjalan Sebagai Administrator</w:t>
      </w:r>
    </w:p>
    <w:p>
      <w:pPr>
        <w:spacing w:after="120" w:before="0"/>
      </w:pPr>
      <w:r>
        <w:t xml:space="preserve">HermesNetwork360Guard.exe didistribusikan ke pengguna akhir dan berjalan dalam konteks user biasa, bukan administrator. Operasi privileged WireGuard (instalasi service, penulisan file konfigurasi, kontrol service) tidak boleh ditarik ke level UI karena akan memunculkan dialog UAC tiap operasi. Solusinya: komponen Helper Service terpisah yang berjalan sebagai LocalSystem (Windows) atau root (macOS), dengan kontrak komunikasi typed JSON-RPC over named-pipe atau unix-socket.</w:t>
      </w:r>
    </w:p>
    <w:p>
      <w:pPr>
        <w:pStyle w:val="Heading2"/>
        <w:spacing w:after="160" w:before="280"/>
      </w:pPr>
      <w:r>
        <w:t xml:space="preserve">3.3. Koreksi 3 — WG Config Per-User di Supabase user_data</w:t>
      </w:r>
    </w:p>
    <w:p>
      <w:pPr>
        <w:spacing w:after="120" w:before="0"/>
      </w:pPr>
      <w:r>
        <w:t xml:space="preserve">Tidak ada gateway SASE terpusat dengan endpoint tunggal. Setiap pengguna memiliki konfigurasi WireGuard sendiri yang sudah tersimpan di tabel user_data Supabase. Endpoint, peer publickey, AllowedIPs, dan elemen lainnya semua ditentukan per pengguna oleh tooling administrator di luar cakupan dokumentasi ini.</w:t>
      </w:r>
    </w:p>
    <w:p>
      <w:pPr>
        <w:pStyle w:val="Heading2"/>
        <w:spacing w:after="160" w:before="280"/>
      </w:pPr>
      <w:r>
        <w:t xml:space="preserve">3.4. Dampak Koreksi pada Bab-Bab Dokumen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026"/>
      </w:tblGrid>
      <w:tr>
        <w:tc>
          <w:tcPr>
            <w:tcW w:type="dxa" w:w="18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Koreksi</w:t>
            </w:r>
          </w:p>
        </w:tc>
        <w:tc>
          <w:tcPr>
            <w:tcW w:type="dxa" w:w="22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Bab Terdampak</w:t>
            </w:r>
          </w:p>
        </w:tc>
        <w:tc>
          <w:tcPr>
            <w:tcW w:type="dxa" w:w="50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Inti Perubahan</w:t>
            </w:r>
          </w:p>
        </w:tc>
      </w:tr>
      <w:tr>
        <w:tc>
          <w:tcPr>
            <w:tcW w:type="dxa" w:w="18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Koreksi 1: Tidak ada Edge Function</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01, 02, 03, 05, 07, 12</w:t>
            </w:r>
          </w:p>
        </w:tc>
        <w:tc>
          <w:tcPr>
            <w:tcW w:type="dxa" w:w="5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Hapus seluruh referensi enroll-rmm dan sase-config Edge Function. Diganti dengan PostgREST direct query dilindungi RLS.</w:t>
            </w:r>
          </w:p>
        </w:tc>
      </w:tr>
      <w:tr>
        <w:tc>
          <w:tcPr>
            <w:tcW w:type="dxa" w:w="18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Koreksi 2: UI tidak as admin</w:t>
            </w:r>
          </w:p>
        </w:tc>
        <w:tc>
          <w:tcPr>
            <w:tcW w:type="dxa" w:w="22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01, 02, 03, 04 (rewrite total), 06, 07, 08, 10, 11</w:t>
            </w:r>
          </w:p>
        </w:tc>
        <w:tc>
          <w:tcPr>
            <w:tcW w:type="dxa" w:w="50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Komponen baru: HermesHelperSvc (Windows Service LocalSystem / macOS LaunchDaemon root). Komunikasi UI ke Helper menggunakan typed JSON-RPC. Whitelist verb minimal dengan validasi input ketat.</w:t>
            </w:r>
          </w:p>
        </w:tc>
      </w:tr>
      <w:tr>
        <w:tc>
          <w:tcPr>
            <w:tcW w:type="dxa" w:w="18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Koreksi 3: wg config di user_data</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01, 02, 03, 05 (rewrite total), 06, 07, 11, 12</w:t>
            </w:r>
          </w:p>
        </w:tc>
        <w:tc>
          <w:tcPr>
            <w:tcW w:type="dxa" w:w="5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Hapus konsep gateway terpusat. SaseConfigClient sekarang membaca user_data secara langsung. Per-user endpoint dan AllowedIPs dikelola admin.</w:t>
            </w:r>
          </w:p>
        </w:tc>
      </w:tr>
    </w:tbl>
    <w:p>
      <w:pPr>
        <w:pStyle w:val="Heading1"/>
        <w:spacing w:after="200" w:before="360"/>
      </w:pPr>
      <w:r>
        <w:t xml:space="preserve">4. Iterasi v1.2 — Verifikasi Schema Production</w:t>
      </w:r>
    </w:p>
    <w:p>
      <w:pPr>
        <w:spacing w:after="120" w:before="0"/>
      </w:pPr>
      <w:r>
        <w:t xml:space="preserve">Setelah v1.1 dipublikasikan, masih tersisa beberapa rekomendasi yang mengasumsikan kolom dan trigger akan dibuat di Supabase (mis. ALTER TABLE ADD COLUMN wg_config, CREATE TRIGGER protect_wg_config, CREATE TABLE sase_audit_log). Pemilik produk meminta verifikasi langsung ke schema production, dengan instruksi tegas: tidak boleh ada perubahan apa pun ke Supabase.</w:t>
      </w:r>
    </w:p>
    <w:p>
      <w:pPr>
        <w:pStyle w:val="Heading2"/>
        <w:spacing w:after="160" w:before="280"/>
      </w:pPr>
      <w:r>
        <w:t xml:space="preserve">4.1. Metode Verifikasi</w:t>
      </w:r>
    </w:p>
    <w:p>
      <w:pPr>
        <w:spacing w:after="120" w:before="0"/>
      </w:pPr>
      <w:r>
        <w:t xml:space="preserve">Akses Supabase Studio production lewat Chrome MCP, lalu inspeksi via dua jalur:</w:t>
      </w:r>
    </w:p>
    <w:p>
      <w:pPr>
        <w:pStyle w:val="ListParagraph"/>
        <w:numPr>
          <w:ilvl w:val="0"/>
          <w:numId w:val="2"/>
        </w:numPr>
        <w:spacing w:after="80"/>
      </w:pPr>
      <w:r>
        <w:t xml:space="preserve">Tampilan Database Tables untuk overview tabel, jumlah baris, jumlah kolom, dan status Realtime.</w:t>
      </w:r>
    </w:p>
    <w:p>
      <w:pPr>
        <w:pStyle w:val="ListParagraph"/>
        <w:numPr>
          <w:ilvl w:val="0"/>
          <w:numId w:val="2"/>
        </w:numPr>
        <w:spacing w:after="80"/>
      </w:pPr>
      <w:r>
        <w:t xml:space="preserve">Tampilan kolom user_data untuk konfirmasi seluruh 23 kolom beserta tipe data.</w:t>
      </w:r>
    </w:p>
    <w:p>
      <w:pPr>
        <w:pStyle w:val="ListParagraph"/>
        <w:numPr>
          <w:ilvl w:val="0"/>
          <w:numId w:val="2"/>
        </w:numPr>
        <w:spacing w:after="80"/>
      </w:pPr>
      <w:r>
        <w:t xml:space="preserve">SQL Editor untuk query terhadap pg_class (status RLS), pg_policy (definisi policy), pg_trigger (trigger custom), dan information_schema.columns.</w:t>
      </w:r>
    </w:p>
    <w:p>
      <w:pPr>
        <w:pStyle w:val="ListParagraph"/>
        <w:numPr>
          <w:ilvl w:val="0"/>
          <w:numId w:val="2"/>
        </w:numPr>
        <w:spacing w:after="80"/>
      </w:pPr>
      <w:r>
        <w:t xml:space="preserve">Sampling lima baris user_data untuk verifikasi format kolom configuration dengan position() pada substring kunci WireGuard.</w:t>
      </w:r>
    </w:p>
    <w:p>
      <w:pPr>
        <w:pStyle w:val="Heading2"/>
        <w:spacing w:after="160" w:before="280"/>
      </w:pPr>
      <w:r>
        <w:t xml:space="preserve">4.2. Tabel di Schema public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800"/>
        <w:gridCol w:w="2726"/>
      </w:tblGrid>
      <w:tr>
        <w:tc>
          <w:tcPr>
            <w:tcW w:type="dxa" w:w="30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Tabel</w:t>
            </w:r>
          </w:p>
        </w:tc>
        <w:tc>
          <w:tcPr>
            <w:tcW w:type="dxa" w:w="1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Kolom</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Baris</w:t>
            </w:r>
          </w:p>
        </w:tc>
        <w:tc>
          <w:tcPr>
            <w:tcW w:type="dxa" w:w="27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Realtime</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install_token_data</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12</w:t>
            </w:r>
          </w:p>
        </w:tc>
        <w:tc>
          <w:tcPr>
            <w:tcW w:type="dxa" w:w="18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1</w:t>
            </w:r>
          </w:p>
        </w:tc>
        <w:tc>
          <w:tcPr>
            <w:tcW w:type="dxa" w:w="27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Tidak aktif</w:t>
            </w:r>
          </w:p>
        </w:tc>
      </w:tr>
      <w:tr>
        <w:tc>
          <w:tcPr>
            <w:tcW w:type="dxa" w:w="30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token_blacklist_data</w:t>
            </w:r>
          </w:p>
        </w:tc>
        <w:tc>
          <w:tcPr>
            <w:tcW w:type="dxa" w:w="15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3</w:t>
            </w:r>
          </w:p>
        </w:tc>
        <w:tc>
          <w:tcPr>
            <w:tcW w:type="dxa" w:w="18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0</w:t>
            </w:r>
          </w:p>
        </w:tc>
        <w:tc>
          <w:tcPr>
            <w:tcW w:type="dxa" w:w="27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Tidak aktif</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sz w:val="20"/>
                <w:szCs w:val="20"/>
              </w:rPr>
              <w:t xml:space="preserve">user_data (relevan untuk SASE)</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sz w:val="20"/>
                <w:szCs w:val="20"/>
              </w:rPr>
              <w:t xml:space="preserve">23</w:t>
            </w:r>
          </w:p>
        </w:tc>
        <w:tc>
          <w:tcPr>
            <w:tcW w:type="dxa" w:w="18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sz w:val="20"/>
                <w:szCs w:val="20"/>
              </w:rPr>
              <w:t xml:space="preserve">455</w:t>
            </w:r>
          </w:p>
        </w:tc>
        <w:tc>
          <w:tcPr>
            <w:tcW w:type="dxa" w:w="27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sz w:val="20"/>
                <w:szCs w:val="20"/>
              </w:rPr>
              <w:t xml:space="preserve">Tidak aktif</w:t>
            </w:r>
          </w:p>
        </w:tc>
      </w:tr>
      <w:tr>
        <w:tc>
          <w:tcPr>
            <w:tcW w:type="dxa" w:w="30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version_data</w:t>
            </w:r>
          </w:p>
        </w:tc>
        <w:tc>
          <w:tcPr>
            <w:tcW w:type="dxa" w:w="15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8</w:t>
            </w:r>
          </w:p>
        </w:tc>
        <w:tc>
          <w:tcPr>
            <w:tcW w:type="dxa" w:w="18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0</w:t>
            </w:r>
          </w:p>
        </w:tc>
        <w:tc>
          <w:tcPr>
            <w:tcW w:type="dxa" w:w="27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Tidak aktif</w:t>
            </w:r>
          </w:p>
        </w:tc>
      </w:tr>
    </w:tbl>
    <w:p>
      <w:pPr>
        <w:pStyle w:val="Heading2"/>
        <w:spacing w:after="160" w:before="280"/>
      </w:pPr>
      <w:r>
        <w:t xml:space="preserve">4.3. Kolom user_data yang Relevan untuk SASE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226"/>
      </w:tblGrid>
      <w:tr>
        <w:tc>
          <w:tcPr>
            <w:tcW w:type="dxa" w:w="23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Kolom</w:t>
            </w:r>
          </w:p>
        </w:tc>
        <w:tc>
          <w:tcPr>
            <w:tcW w:type="dxa" w:w="1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Tipe</w:t>
            </w:r>
          </w:p>
        </w:tc>
        <w:tc>
          <w:tcPr>
            <w:tcW w:type="dxa" w:w="52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Peran</w:t>
            </w:r>
          </w:p>
        </w:tc>
      </w:tr>
      <w:tr>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onsolas" w:cs="Consolas" w:eastAsia="Consolas" w:hAnsi="Consolas"/>
                <w:sz w:val="20"/>
                <w:szCs w:val="20"/>
              </w:rPr>
              <w:t xml:space="preserve">uid</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uuid</w:t>
            </w:r>
          </w:p>
        </w:tc>
        <w:tc>
          <w:tcPr>
            <w:tcW w:type="dxa" w:w="52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Foreign key ke auth user. Dipakai oleh RLS dengan rule uid() = uid sehingga client otomatis hanya dapat mengakses baris miliknya sendiri.</w:t>
            </w:r>
          </w:p>
        </w:tc>
      </w:tr>
      <w:tr>
        <w:tc>
          <w:tcPr>
            <w:tcW w:type="dxa" w:w="23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rFonts w:ascii="Consolas" w:cs="Consolas" w:eastAsia="Consolas" w:hAnsi="Consolas"/>
                <w:sz w:val="20"/>
                <w:szCs w:val="20"/>
              </w:rPr>
              <w:t xml:space="preserve">configuration</w:t>
            </w:r>
          </w:p>
        </w:tc>
        <w:tc>
          <w:tcPr>
            <w:tcW w:type="dxa" w:w="15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text</w:t>
            </w:r>
          </w:p>
        </w:tc>
        <w:tc>
          <w:tcPr>
            <w:tcW w:type="dxa" w:w="52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Full WireGuard INI string per pengguna. Mengandung blok [Interface] (PrivateKey, Address, DNS) dan [Peer] (PublicKey, Endpoint, AllowedIPs). Dipopulasi oleh admin tooling.</w:t>
            </w:r>
          </w:p>
        </w:tc>
      </w:tr>
      <w:tr>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onsolas" w:cs="Consolas" w:eastAsia="Consolas" w:hAnsi="Consolas"/>
                <w:sz w:val="20"/>
                <w:szCs w:val="20"/>
              </w:rPr>
              <w:t xml:space="preserve">assigned_ip</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text</w:t>
            </w:r>
          </w:p>
        </w:tc>
        <w:tc>
          <w:tcPr>
            <w:tcW w:type="dxa" w:w="52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IP yang di-assign untuk pengguna di tunnel. Bersifat informatif; sudah tercakup di field Address pada configuration.</w:t>
            </w:r>
          </w:p>
        </w:tc>
      </w:tr>
      <w:tr>
        <w:tc>
          <w:tcPr>
            <w:tcW w:type="dxa" w:w="23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rFonts w:ascii="Consolas" w:cs="Consolas" w:eastAsia="Consolas" w:hAnsi="Consolas"/>
                <w:sz w:val="20"/>
                <w:szCs w:val="20"/>
              </w:rPr>
              <w:t xml:space="preserve">sase_slice_id</w:t>
            </w:r>
          </w:p>
        </w:tc>
        <w:tc>
          <w:tcPr>
            <w:tcW w:type="dxa" w:w="15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int4</w:t>
            </w:r>
          </w:p>
        </w:tc>
        <w:tc>
          <w:tcPr>
            <w:tcW w:type="dxa" w:w="52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Pointer ke slice di gateway. Bersifat informatif untuk audit/telemetry.</w:t>
            </w:r>
          </w:p>
        </w:tc>
      </w:tr>
      <w:tr>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onsolas" w:cs="Consolas" w:eastAsia="Consolas" w:hAnsi="Consolas"/>
                <w:sz w:val="20"/>
                <w:szCs w:val="20"/>
              </w:rPr>
              <w:t xml:space="preserve">sase_version</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text</w:t>
            </w:r>
          </w:p>
        </w:tc>
        <w:tc>
          <w:tcPr>
            <w:tcW w:type="dxa" w:w="52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Versi SASE. Pada sample data masih kosong; dipakai sebagai field informatif tanpa dependency logika kode.</w:t>
            </w:r>
          </w:p>
        </w:tc>
      </w:tr>
    </w:tbl>
    <w:p>
      <w:pPr>
        <w:pStyle w:val="Heading2"/>
        <w:spacing w:after="160" w:before="280"/>
      </w:pPr>
      <w:r>
        <w:t xml:space="preserve">4.4. Format Field configuration (Sample 5 User)</w:t>
      </w:r>
    </w:p>
    <w:p>
      <w:pPr>
        <w:spacing w:after="120" w:before="0"/>
      </w:pPr>
      <w:r>
        <w:t xml:space="preserve">Inspeksi terhadap lima baris pengguna nyata menunjukkan struktur yang konsisten: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4"/>
              <w:left w:val="single" w:color="CCCCCC" w:sz="4"/>
              <w:bottom w:val="single" w:color="CCCCCC" w:sz="4"/>
              <w:right w:val="single" w:color="CCCCCC" w:sz="4"/>
            </w:tcBorders>
            <w:shd w:fill="C6EFCE" w:val="clear"/>
            <w:tcMar>
              <w:top w:type="dxa" w:w="100"/>
              <w:left w:type="dxa" w:w="140"/>
              <w:bottom w:type="dxa" w:w="100"/>
              <w:right w:type="dxa" w:w="140"/>
            </w:tcMar>
          </w:tcPr>
          <w:p>
            <w:r>
              <w:rPr>
                <w:b/>
                <w:bCs/>
                <w:sz w:val="20"/>
                <w:szCs w:val="20"/>
              </w:rPr>
              <w:t xml:space="preserve">Selalu Ada</w:t>
            </w:r>
          </w:p>
        </w:tc>
        <w:tc>
          <w:tcPr>
            <w:tcW w:type="dxa" w:w="4513"/>
            <w:tcBorders>
              <w:top w:val="single" w:color="CCCCCC" w:sz="4"/>
              <w:left w:val="single" w:color="CCCCCC" w:sz="4"/>
              <w:bottom w:val="single" w:color="CCCCCC" w:sz="4"/>
              <w:right w:val="single" w:color="CCCCCC" w:sz="4"/>
            </w:tcBorders>
            <w:shd w:fill="FFC7CE" w:val="clear"/>
            <w:tcMar>
              <w:top w:type="dxa" w:w="100"/>
              <w:left w:type="dxa" w:w="140"/>
              <w:bottom w:type="dxa" w:w="100"/>
              <w:right w:type="dxa" w:w="140"/>
            </w:tcMar>
          </w:tcPr>
          <w:p>
            <w:r>
              <w:rPr>
                <w:b/>
                <w:bCs/>
                <w:sz w:val="20"/>
                <w:szCs w:val="20"/>
              </w:rPr>
              <w:t xml:space="preserve">Tidak Ada di Production</w:t>
            </w:r>
          </w:p>
        </w:tc>
      </w:tr>
      <w:tr>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[Interface] (posisi 1)
PrivateKey (posisi ~37)
Address
DNS
[Peer]
PublicKey
Endpoint
AllowedIPs</w:t>
            </w:r>
          </w:p>
        </w:tc>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PresharedKey
MTU
PersistentKeepalive</w:t>
            </w:r>
          </w:p>
        </w:tc>
      </w:tr>
    </w:tbl>
    <w:p>
      <w:pPr>
        <w:spacing w:after="120" w:before="0"/>
      </w:pPr>
      <w:r>
        <w:t xml:space="preserve">Konsekuensi: implementasi client tidak boleh mengasumsikan adanya PSK, MTU custom, atau keepalive. Kalau ke depan administrator menambahkan elemen tersebut di configuration, client otomatis akan ikut menerapkannya karena sifatnya passthrough INI ke Helper.</w:t>
      </w:r>
    </w:p>
    <w:p>
      <w:pPr>
        <w:pStyle w:val="Heading2"/>
        <w:spacing w:after="160" w:before="280"/>
      </w:pPr>
      <w:r>
        <w:t xml:space="preserve">4.5. Row Level Security &amp; Trigger</w:t>
      </w:r>
    </w:p>
    <w:p>
      <w:pPr>
        <w:spacing w:after="120" w:before="0"/>
      </w:pPr>
      <w:r>
        <w:t xml:space="preserve">RLS aktif di user_data dengan satu policy yang sudah cukup, tanpa trigger custom apa pun:</w:t>
      </w:r>
    </w:p>
    <w:p>
      <w:pPr>
        <w:shd w:fill="F4F4F4" w:val="clear"/>
        <w:spacing w:after="120"/>
      </w:pPr>
      <w:r>
        <w:rPr>
          <w:rFonts w:ascii="Consolas" w:cs="Consolas" w:eastAsia="Consolas" w:hAnsi="Consolas"/>
          <w:sz w:val="20"/>
          <w:szCs w:val="20"/>
        </w:rPr>
        <w:t xml:space="preserve">Tabel:    user_data
RLS:      enabled = true, forced = false
Policy:   "Allow all usage"
  - cmd       : * (semua perintah)
  - using     : (uid() = uid)
  - with_check: (uid() = uid)
Trigger:  tidak ada custom trigger</w:t>
      </w:r>
    </w:p>
    <w:p>
      <w:pPr>
        <w:spacing w:after="120" w:before="0"/>
      </w:pPr>
      <w:r>
        <w:t xml:space="preserve">Fungsi uid() adalah helper auth Supabase yang mengembalikan UUID pengguna dari klaim JWT. Implikasinya, query SELECT * FROM user_data akan otomatis difilter ke baris milik pengguna yang login.</w:t>
      </w:r>
    </w:p>
    <w:p>
      <w:r>
        <w:br w:type="page"/>
      </w:r>
    </w:p>
    <w:p>
      <w:pPr>
        <w:pStyle w:val="Heading1"/>
        <w:spacing w:after="200" w:before="360"/>
      </w:pPr>
      <w:r>
        <w:t xml:space="preserve">5. Asumsi yang Gugur vs Realitas Production</w:t>
      </w:r>
    </w:p>
    <w:p>
      <w:pPr>
        <w:spacing w:after="120" w:before="0"/>
      </w:pPr>
      <w:r>
        <w:t xml:space="preserve">Tabel berikut konsolidasi seluruh asumsi yang dihapus dari dokumentasi v1.0 dan v1.1, beserta realitanya di production: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4"/>
              <w:left w:val="single" w:color="CCCCCC" w:sz="4"/>
              <w:bottom w:val="single" w:color="CCCCCC" w:sz="4"/>
              <w:right w:val="single" w:color="CCCCCC" w:sz="4"/>
            </w:tcBorders>
            <w:shd w:fill="FFE699" w:val="clear"/>
            <w:tcMar>
              <w:top w:type="dxa" w:w="100"/>
              <w:left w:type="dxa" w:w="140"/>
              <w:bottom w:type="dxa" w:w="100"/>
              <w:right w:type="dxa" w:w="140"/>
            </w:tcMar>
          </w:tcPr>
          <w:p>
            <w:r>
              <w:rPr>
                <w:b/>
                <w:bCs/>
                <w:sz w:val="20"/>
                <w:szCs w:val="20"/>
              </w:rPr>
              <w:t xml:space="preserve">Asumsi Sebelumnya</w:t>
            </w:r>
          </w:p>
        </w:tc>
        <w:tc>
          <w:tcPr>
            <w:tcW w:type="dxa" w:w="4513"/>
            <w:tcBorders>
              <w:top w:val="single" w:color="CCCCCC" w:sz="4"/>
              <w:left w:val="single" w:color="CCCCCC" w:sz="4"/>
              <w:bottom w:val="single" w:color="CCCCCC" w:sz="4"/>
              <w:right w:val="single" w:color="CCCCCC" w:sz="4"/>
            </w:tcBorders>
            <w:shd w:fill="C6EFCE" w:val="clear"/>
            <w:tcMar>
              <w:top w:type="dxa" w:w="100"/>
              <w:left w:type="dxa" w:w="140"/>
              <w:bottom w:type="dxa" w:w="100"/>
              <w:right w:type="dxa" w:w="140"/>
            </w:tcMar>
          </w:tcPr>
          <w:p>
            <w:r>
              <w:rPr>
                <w:b/>
                <w:bCs/>
                <w:sz w:val="20"/>
                <w:szCs w:val="20"/>
              </w:rPr>
              <w:t xml:space="preserve">Realitas Production (Verified)</w:t>
            </w:r>
          </w:p>
        </w:tc>
      </w:tr>
      <w:tr>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Pakai Edge Function untuk operasi privileged</w:t>
            </w:r>
          </w:p>
        </w:tc>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Self-hosted Supabase tidak punya Edge Function. Pakai PostgREST + RLS direct.</w:t>
            </w:r>
          </w:p>
        </w:tc>
      </w:tr>
      <w:tr>
        <w:tc>
          <w:tcPr>
            <w:tcW w:type="dxa" w:w="4513"/>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UI app jalan as admin / minta UAC tiap operasi</w:t>
            </w:r>
          </w:p>
        </w:tc>
        <w:tc>
          <w:tcPr>
            <w:tcW w:type="dxa" w:w="4513"/>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UI as user. Operasi privileged via HermesHelperSvc (Windows Service LocalSystem / macOS LaunchDaemon root).</w:t>
            </w:r>
          </w:p>
        </w:tc>
      </w:tr>
      <w:tr>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Gateway SASE terpusat (n1.ndr24.com)</w:t>
            </w:r>
          </w:p>
        </w:tc>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Tidak ada gateway hardcoded. Per-user config di user_data.configuration.</w:t>
            </w:r>
          </w:p>
        </w:tc>
      </w:tr>
      <w:tr>
        <w:tc>
          <w:tcPr>
            <w:tcW w:type="dxa" w:w="4513"/>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Akan menambah kolom wg_config, wg_public_key, wg_status, wg_last_handshake</w:t>
            </w:r>
          </w:p>
        </w:tc>
        <w:tc>
          <w:tcPr>
            <w:tcW w:type="dxa" w:w="4513"/>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Tidak boleh menambah kolom. Pakai kolom configuration yang sudah ada.</w:t>
            </w:r>
          </w:p>
        </w:tc>
      </w:tr>
      <w:tr>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Akan membuat trigger protect_wg_config</w:t>
            </w:r>
          </w:p>
        </w:tc>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Tidak ada trigger custom. Disiplin di kode (client tidak UPDATE configuration).</w:t>
            </w:r>
          </w:p>
        </w:tc>
      </w:tr>
      <w:tr>
        <w:tc>
          <w:tcPr>
            <w:tcW w:type="dxa" w:w="4513"/>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Akan membuat tabel sase_peer dan sase_audit_log</w:t>
            </w:r>
          </w:p>
        </w:tc>
        <w:tc>
          <w:tcPr>
            <w:tcW w:type="dxa" w:w="4513"/>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Tidak boleh tabel baru. Audit di app log lokal + LogReportService Hermes existing.</w:t>
            </w:r>
          </w:p>
        </w:tc>
      </w:tr>
      <w:tr>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Client generate keypair lokal, publish PublicKey</w:t>
            </w:r>
          </w:p>
        </w:tc>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Admin tooling generate keypair. PrivateKey ada di configuration. Client passthrough.</w:t>
            </w:r>
          </w:p>
        </w:tc>
      </w:tr>
      <w:tr>
        <w:tc>
          <w:tcPr>
            <w:tcW w:type="dxa" w:w="4513"/>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Pakai PSK, MTU eksplisit, PersistentKeepalive</w:t>
            </w:r>
          </w:p>
        </w:tc>
        <w:tc>
          <w:tcPr>
            <w:tcW w:type="dxa" w:w="4513"/>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Production tidak memakai ketiganya. Kalau admin tambahkan, client auto-support.</w:t>
            </w:r>
          </w:p>
        </w:tc>
      </w:tr>
      <w:tr>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Subscribe Realtime untuk push update</w:t>
            </w:r>
          </w:p>
        </w:tc>
        <w:tc>
          <w:tcPr>
            <w:tcW w:type="dxa" w:w="451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Realtime tidak aktif. Polling 5 menit + SHA-256 hash compare.</w:t>
            </w:r>
          </w:p>
        </w:tc>
      </w:tr>
      <w:tr>
        <w:tc>
          <w:tcPr>
            <w:tcW w:type="dxa" w:w="4513"/>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Policy contoh: auth.uid() = id</w:t>
            </w:r>
          </w:p>
        </w:tc>
        <w:tc>
          <w:tcPr>
            <w:tcW w:type="dxa" w:w="4513"/>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Policy aktual: uid() = uid (kolom uid uuid, bukan id integer).</w:t>
            </w:r>
          </w:p>
        </w:tc>
      </w:tr>
    </w:tbl>
    <w:p>
      <w:pPr>
        <w:pStyle w:val="Heading1"/>
        <w:spacing w:after="200" w:before="360"/>
      </w:pPr>
      <w:r>
        <w:t xml:space="preserve">6. Arsitektur Akhir</w:t>
      </w:r>
    </w:p>
    <w:p>
      <w:pPr>
        <w:spacing w:after="120" w:before="0"/>
      </w:pPr>
      <w:r>
        <w:t xml:space="preserve">Setelah dua iterasi revisi, arsitektur final terdiri dari empat komponen yang bekerja bersama:</w:t>
      </w:r>
    </w:p>
    <w:p>
      <w:pPr>
        <w:pStyle w:val="Heading2"/>
        <w:spacing w:after="160" w:before="280"/>
      </w:pPr>
      <w:r>
        <w:t xml:space="preserve">6.1. Empat Komponen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c>
          <w:tcPr>
            <w:tcW w:type="dxa" w:w="30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Komponen</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Run As</w:t>
            </w:r>
          </w:p>
        </w:tc>
        <w:tc>
          <w:tcPr>
            <w:tcW w:type="dxa" w:w="42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Tanggung Jawab</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HermesNetwork360Guard.exe (UI Avalonia)</w:t>
            </w:r>
          </w:p>
        </w:tc>
        <w:tc>
          <w:tcPr>
            <w:tcW w:type="dxa" w:w="18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User mode</w:t>
            </w:r>
          </w:p>
        </w:tc>
        <w:tc>
          <w:tcPr>
            <w:tcW w:type="dxa" w:w="42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Login Supabase, baca user_data.configuration via PostgREST + JWT (RLS auto-filter), request operasi privileged ke Helper.</w:t>
            </w:r>
          </w:p>
        </w:tc>
      </w:tr>
      <w:tr>
        <w:tc>
          <w:tcPr>
            <w:tcW w:type="dxa" w:w="30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HermesHelperSvc</w:t>
            </w:r>
          </w:p>
        </w:tc>
        <w:tc>
          <w:tcPr>
            <w:tcW w:type="dxa" w:w="18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LocalSystem (Win) / root (Mac)</w:t>
            </w:r>
          </w:p>
        </w:tc>
        <w:tc>
          <w:tcPr>
            <w:tcW w:type="dxa" w:w="42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Eksekusi operasi privileged WireGuard via wireguard.exe / wg-quick. Stateless, whitelist verb, validasi input.</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Supabase user_data</w:t>
            </w:r>
          </w:p>
        </w:tc>
        <w:tc>
          <w:tcPr>
            <w:tcW w:type="dxa" w:w="18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PostgREST + RLS</w:t>
            </w:r>
          </w:p>
        </w:tc>
        <w:tc>
          <w:tcPr>
            <w:tcW w:type="dxa" w:w="42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Source of truth per-user configuration. Schema TIDAK diubah. RLS yang sudah aktif (uid() = uid) auto-filter ke baris user.</w:t>
            </w:r>
          </w:p>
        </w:tc>
      </w:tr>
      <w:tr>
        <w:tc>
          <w:tcPr>
            <w:tcW w:type="dxa" w:w="30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WireGuard Service</w:t>
            </w:r>
          </w:p>
        </w:tc>
        <w:tc>
          <w:tcPr>
            <w:tcW w:type="dxa" w:w="18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Kernel / OS service</w:t>
            </w:r>
          </w:p>
        </w:tc>
        <w:tc>
          <w:tcPr>
            <w:tcW w:type="dxa" w:w="42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Data plane WireGuard. Dikelola Helper via ServiceController (Win) atau launchctl (Mac).</w:t>
            </w:r>
          </w:p>
        </w:tc>
      </w:tr>
    </w:tbl>
    <w:p>
      <w:pPr>
        <w:pStyle w:val="Heading2"/>
        <w:spacing w:after="160" w:before="280"/>
      </w:pPr>
      <w:r>
        <w:t xml:space="preserve">6.2. Verb yang Didukung Helper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Verb</w:t>
            </w:r>
          </w:p>
        </w:tc>
        <w:tc>
          <w:tcPr>
            <w:tcW w:type="dxa" w:w="66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Tujuan</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onsolas" w:cs="Consolas" w:eastAsia="Consolas" w:hAnsi="Consolas"/>
                <w:sz w:val="20"/>
                <w:szCs w:val="20"/>
              </w:rPr>
              <w:t xml:space="preserve">Ping</w:t>
            </w:r>
          </w:p>
        </w:tc>
        <w:tc>
          <w:tcPr>
            <w:tcW w:type="dxa" w:w="66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Health check tanpa privilege.</w:t>
            </w:r>
          </w:p>
        </w:tc>
      </w:tr>
      <w:tr>
        <w:tc>
          <w:tcPr>
            <w:tcW w:type="dxa" w:w="24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rFonts w:ascii="Consolas" w:cs="Consolas" w:eastAsia="Consolas" w:hAnsi="Consolas"/>
                <w:sz w:val="20"/>
                <w:szCs w:val="20"/>
              </w:rPr>
              <w:t xml:space="preserve">InstallTunnel</w:t>
            </w:r>
          </w:p>
        </w:tc>
        <w:tc>
          <w:tcPr>
            <w:tcW w:type="dxa" w:w="66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Pasang WireGuard tunnel sebagai Windows Service / LaunchDaemon.</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onsolas" w:cs="Consolas" w:eastAsia="Consolas" w:hAnsi="Consolas"/>
                <w:sz w:val="20"/>
                <w:szCs w:val="20"/>
              </w:rPr>
              <w:t xml:space="preserve">UninstallTunnel</w:t>
            </w:r>
          </w:p>
        </w:tc>
        <w:tc>
          <w:tcPr>
            <w:tcW w:type="dxa" w:w="66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Cabut WireGuard tunnel service dan hapus konfigurasi.</w:t>
            </w:r>
          </w:p>
        </w:tc>
      </w:tr>
      <w:tr>
        <w:tc>
          <w:tcPr>
            <w:tcW w:type="dxa" w:w="24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rFonts w:ascii="Consolas" w:cs="Consolas" w:eastAsia="Consolas" w:hAnsi="Consolas"/>
                <w:sz w:val="20"/>
                <w:szCs w:val="20"/>
              </w:rPr>
              <w:t xml:space="preserve">ApplyConfig</w:t>
            </w:r>
          </w:p>
        </w:tc>
        <w:tc>
          <w:tcPr>
            <w:tcW w:type="dxa" w:w="66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Tulis konfigurasi baru ke lokasi sistem dan reload tunnel.</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onsolas" w:cs="Consolas" w:eastAsia="Consolas" w:hAnsi="Consolas"/>
                <w:sz w:val="20"/>
                <w:szCs w:val="20"/>
              </w:rPr>
              <w:t xml:space="preserve">StartTunnel</w:t>
            </w:r>
          </w:p>
        </w:tc>
        <w:tc>
          <w:tcPr>
            <w:tcW w:type="dxa" w:w="66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Aktifkan WireGuard tunnel.</w:t>
            </w:r>
          </w:p>
        </w:tc>
      </w:tr>
      <w:tr>
        <w:tc>
          <w:tcPr>
            <w:tcW w:type="dxa" w:w="24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rFonts w:ascii="Consolas" w:cs="Consolas" w:eastAsia="Consolas" w:hAnsi="Consolas"/>
                <w:sz w:val="20"/>
                <w:szCs w:val="20"/>
              </w:rPr>
              <w:t xml:space="preserve">StopTunnel</w:t>
            </w:r>
          </w:p>
        </w:tc>
        <w:tc>
          <w:tcPr>
            <w:tcW w:type="dxa" w:w="66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Hentikan WireGuard tunnel.</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onsolas" w:cs="Consolas" w:eastAsia="Consolas" w:hAnsi="Consolas"/>
                <w:sz w:val="20"/>
                <w:szCs w:val="20"/>
              </w:rPr>
              <w:t xml:space="preserve">GetStatus</w:t>
            </w:r>
          </w:p>
        </w:tc>
        <w:tc>
          <w:tcPr>
            <w:tcW w:type="dxa" w:w="66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Kembalikan status: state, last handshake, byte transfer, jumlah peer.</w:t>
            </w:r>
          </w:p>
        </w:tc>
      </w:tr>
    </w:tbl>
    <w:p>
      <w:pPr>
        <w:pStyle w:val="Heading2"/>
        <w:spacing w:after="160" w:before="280"/>
      </w:pPr>
      <w:r>
        <w:t xml:space="preserve">6.3. Struktur File Implementasi</w:t>
      </w:r>
    </w:p>
    <w:p>
      <w:pPr>
        <w:spacing w:after="120" w:before="0"/>
      </w:pPr>
      <w:r>
        <w:t xml:space="preserve">Refactor menambahkan satu project baru pada solution HermesNetwork360-Avalonia.sln, plus dua namespace baru di project UI:</w:t>
      </w:r>
    </w:p>
    <w:p>
      <w:pPr>
        <w:shd w:fill="F4F4F4" w:val="clear"/>
        <w:spacing w:after="120"/>
      </w:pPr>
      <w:r>
        <w:rPr>
          <w:rFonts w:ascii="Consolas" w:cs="Consolas" w:eastAsia="Consolas" w:hAnsi="Consolas"/>
          <w:sz w:val="20"/>
          <w:szCs w:val="20"/>
        </w:rPr>
        <w:t xml:space="preserve">HermesNetwork360-Avalonia.sln
+-- HermesNetwork/                          (UI app, run as user)
|   \-- Sase/
|       +-- Helper/                         [BARU] Client RPC ke Helper
|       |   +-- IHelperServiceClient.cs
|       |   \-- HelperServiceClient.cs
|       +-- Config/                         [BARU] Reader user_data
|       |   +-- ISaseConfigClient.cs
|       |   +-- SaseConfigClient.cs         (passthrough INI dari user_data.configuration)
|       |   \-- Models/SaseConfigDto.cs
|       \-- SaseConnectionService.cs        Orchestrator state machine
|
\-- HermesHelperSvc/                        [BARU] Project privileged
    +-- Program.cs                          Worker host, Win Service / launchd
    +-- Rpc/JsonRpcServer.cs                Named-pipe / unix-socket listener
    +-- Os/{IOsBackend, WindowsBackend, MacBackend}.cs
    \-- Auth/CallerAuthenticator.cs         Validasi same-user, same-machine</w:t>
      </w:r>
    </w:p>
    <w:p>
      <w:pPr>
        <w:pStyle w:val="Heading1"/>
        <w:spacing w:after="200" w:before="360"/>
      </w:pPr>
      <w:r>
        <w:t xml:space="preserve">7. Statistik Kumulatif</w:t>
      </w:r>
    </w:p>
    <w:p>
      <w:pPr>
        <w:spacing w:after="120" w:before="0"/>
      </w:pPr>
      <w:r>
        <w:t xml:space="preserve">Total perubahan dari v1.0 ke v1.2 dijumlahkan dari kedua iterasi: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Iterasi v1.1 (3 koreksi)</w:t>
            </w:r>
          </w:p>
        </w:tc>
        <w:tc>
          <w:tcPr>
            <w:tcW w:type="dxa" w:w="55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Statistik</w:t>
            </w:r>
          </w:p>
        </w:tc>
      </w:tr>
      <w:tr>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Bab di-update</w:t>
            </w:r>
          </w:p>
        </w:tc>
        <w:tc>
          <w:tcPr>
            <w:tcW w:type="dxa" w:w="55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12 dari 13 (Bab 09 CLI Reference tidak terdampak)</w:t>
            </w:r>
          </w:p>
        </w:tc>
      </w:tr>
      <w:tr>
        <w:tc>
          <w:tcPr>
            <w:tcW w:type="dxa" w:w="35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Sisipan baris</w:t>
            </w:r>
          </w:p>
        </w:tc>
        <w:tc>
          <w:tcPr>
            <w:tcW w:type="dxa" w:w="55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2.764</w:t>
            </w:r>
          </w:p>
        </w:tc>
      </w:tr>
      <w:tr>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Penghapusan baris</w:t>
            </w:r>
          </w:p>
        </w:tc>
        <w:tc>
          <w:tcPr>
            <w:tcW w:type="dxa" w:w="55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2.556</w:t>
            </w:r>
          </w:p>
        </w:tc>
      </w:tr>
      <w:tr>
        <w:tc>
          <w:tcPr>
            <w:tcW w:type="dxa" w:w="35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Net change</w:t>
            </w:r>
          </w:p>
        </w:tc>
        <w:tc>
          <w:tcPr>
            <w:tcW w:type="dxa" w:w="55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+208 baris</w:t>
            </w:r>
          </w:p>
        </w:tc>
      </w:tr>
      <w:tr>
        <w:tc>
          <w:tcPr>
            <w:tcW w:type="dxa" w:w="3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Iterasi v1.2 (schema alignment)</w:t>
            </w:r>
          </w:p>
        </w:tc>
        <w:tc>
          <w:tcPr>
            <w:tcW w:type="dxa" w:w="55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Statistik</w:t>
            </w:r>
          </w:p>
        </w:tc>
      </w:tr>
      <w:tr>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Bab di-update</w:t>
            </w:r>
          </w:p>
        </w:tc>
        <w:tc>
          <w:tcPr>
            <w:tcW w:type="dxa" w:w="55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9 markdown file (01, 02, 03, 05, 06, 07, 10, 11, 12)</w:t>
            </w:r>
          </w:p>
        </w:tc>
      </w:tr>
      <w:tr>
        <w:tc>
          <w:tcPr>
            <w:tcW w:type="dxa" w:w="35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Sisipan baris</w:t>
            </w:r>
          </w:p>
        </w:tc>
        <w:tc>
          <w:tcPr>
            <w:tcW w:type="dxa" w:w="55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519</w:t>
            </w:r>
          </w:p>
        </w:tc>
      </w:tr>
      <w:tr>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Penghapusan baris</w:t>
            </w:r>
          </w:p>
        </w:tc>
        <w:tc>
          <w:tcPr>
            <w:tcW w:type="dxa" w:w="55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sz w:val="20"/>
                <w:szCs w:val="20"/>
              </w:rPr>
              <w:t xml:space="preserve">771</w:t>
            </w:r>
          </w:p>
        </w:tc>
      </w:tr>
      <w:tr>
        <w:tc>
          <w:tcPr>
            <w:tcW w:type="dxa" w:w="35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Net change</w:t>
            </w:r>
          </w:p>
        </w:tc>
        <w:tc>
          <w:tcPr>
            <w:tcW w:type="dxa" w:w="55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sz w:val="20"/>
                <w:szCs w:val="20"/>
              </w:rPr>
              <w:t xml:space="preserve">-252 baris (lebih ramping)</w:t>
            </w:r>
          </w:p>
        </w:tc>
      </w:tr>
      <w:tr>
        <w:tc>
          <w:tcPr>
            <w:tcW w:type="dxa" w:w="3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Total v1.0 → v1.2</w:t>
            </w:r>
          </w:p>
        </w:tc>
        <w:tc>
          <w:tcPr>
            <w:tcW w:type="dxa" w:w="55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tcPr>
          <w:p>
            <w:r>
              <w:rPr>
                <w:b/>
                <w:bCs/>
                <w:color w:val="FFFFFF"/>
                <w:sz w:val="20"/>
                <w:szCs w:val="20"/>
              </w:rPr>
              <w:t xml:space="preserve">Statistik Akhir</w:t>
            </w:r>
          </w:p>
        </w:tc>
      </w:tr>
      <w:tr>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sz w:val="20"/>
                <w:szCs w:val="20"/>
              </w:rPr>
              <w:t xml:space="preserve">File berubah</w:t>
            </w:r>
          </w:p>
        </w:tc>
        <w:tc>
          <w:tcPr>
            <w:tcW w:type="dxa" w:w="55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sz w:val="20"/>
                <w:szCs w:val="20"/>
              </w:rPr>
              <w:t xml:space="preserve">12 dari 13 markdown (semua kecuali 09 CLI Reference)</w:t>
            </w:r>
          </w:p>
        </w:tc>
      </w:tr>
      <w:tr>
        <w:tc>
          <w:tcPr>
            <w:tcW w:type="dxa" w:w="35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b/>
                <w:bCs/>
                <w:sz w:val="20"/>
                <w:szCs w:val="20"/>
              </w:rPr>
              <w:t xml:space="preserve">Total sisipan</w:t>
            </w:r>
          </w:p>
        </w:tc>
        <w:tc>
          <w:tcPr>
            <w:tcW w:type="dxa" w:w="55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b/>
                <w:bCs/>
                <w:sz w:val="20"/>
                <w:szCs w:val="20"/>
              </w:rPr>
              <w:t xml:space="preserve">3.283 baris</w:t>
            </w:r>
          </w:p>
        </w:tc>
      </w:tr>
      <w:tr>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sz w:val="20"/>
                <w:szCs w:val="20"/>
              </w:rPr>
              <w:t xml:space="preserve">Total penghapusan</w:t>
            </w:r>
          </w:p>
        </w:tc>
        <w:tc>
          <w:tcPr>
            <w:tcW w:type="dxa" w:w="55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sz w:val="20"/>
                <w:szCs w:val="20"/>
              </w:rPr>
              <w:t xml:space="preserve">3.327 baris</w:t>
            </w:r>
          </w:p>
        </w:tc>
      </w:tr>
      <w:tr>
        <w:tc>
          <w:tcPr>
            <w:tcW w:type="dxa" w:w="3500"/>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b/>
                <w:bCs/>
                <w:sz w:val="20"/>
                <w:szCs w:val="20"/>
              </w:rPr>
              <w:t xml:space="preserve">Build GitHub Pages terakhir</w:t>
            </w:r>
          </w:p>
        </w:tc>
        <w:tc>
          <w:tcPr>
            <w:tcW w:type="dxa" w:w="5526"/>
            <w:tcBorders>
              <w:top w:val="single" w:color="CCCCCC" w:sz="4"/>
              <w:left w:val="single" w:color="CCCCCC" w:sz="4"/>
              <w:bottom w:val="single" w:color="CCCCCC" w:sz="4"/>
              <w:right w:val="single" w:color="CCCCCC" w:sz="4"/>
            </w:tcBorders>
            <w:shd w:fill="F8F9FA" w:val="clear"/>
            <w:tcMar>
              <w:top w:type="dxa" w:w="100"/>
              <w:left w:type="dxa" w:w="140"/>
              <w:bottom w:type="dxa" w:w="100"/>
              <w:right w:type="dxa" w:w="140"/>
            </w:tcMar>
          </w:tcPr>
          <w:p>
            <w:r>
              <w:rPr>
                <w:b/>
                <w:bCs/>
                <w:sz w:val="20"/>
                <w:szCs w:val="20"/>
              </w:rPr>
              <w:t xml:space="preserve">Sukses dalam 45 detik</w:t>
            </w:r>
          </w:p>
        </w:tc>
      </w:tr>
      <w:tr>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sz w:val="20"/>
                <w:szCs w:val="20"/>
              </w:rPr>
              <w:t xml:space="preserve">Verifikasi URL</w:t>
            </w:r>
          </w:p>
        </w:tc>
        <w:tc>
          <w:tcPr>
            <w:tcW w:type="dxa" w:w="55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bCs/>
                <w:sz w:val="20"/>
                <w:szCs w:val="20"/>
              </w:rPr>
              <w:t xml:space="preserve">8 endpoint utama HTTP 200</w:t>
            </w:r>
          </w:p>
        </w:tc>
      </w:tr>
    </w:tbl>
    <w:p>
      <w:pPr>
        <w:pStyle w:val="Heading1"/>
        <w:spacing w:after="200" w:before="360"/>
      </w:pPr>
      <w:r>
        <w:t xml:space="preserve">8. Komitmen Tidak Ubah Supabase</w:t>
      </w:r>
    </w:p>
    <w:p>
      <w:pPr>
        <w:spacing w:after="120" w:before="0"/>
      </w:pPr>
      <w:r>
        <w:t xml:space="preserve">Dokumentasi v1.2 yang dipublikasikan memenuhi syarat berikut, sesuai instruksi pemilik produk:</w:t>
      </w:r>
    </w:p>
    <w:p>
      <w:pPr>
        <w:pStyle w:val="ListParagraph"/>
        <w:numPr>
          <w:ilvl w:val="0"/>
          <w:numId w:val="2"/>
        </w:numPr>
        <w:spacing w:after="80"/>
      </w:pPr>
      <w:r>
        <w:t xml:space="preserve">Tidak ada perintah ALTER TABLE pada user_data atau tabel mana pun.</w:t>
      </w:r>
    </w:p>
    <w:p>
      <w:pPr>
        <w:pStyle w:val="ListParagraph"/>
        <w:numPr>
          <w:ilvl w:val="0"/>
          <w:numId w:val="2"/>
        </w:numPr>
        <w:spacing w:after="80"/>
      </w:pPr>
      <w:r>
        <w:t xml:space="preserve">Tidak ada CREATE TABLE atau pembuatan tabel baru (sase_peer, sase_audit_log, dst.).</w:t>
      </w:r>
    </w:p>
    <w:p>
      <w:pPr>
        <w:pStyle w:val="ListParagraph"/>
        <w:numPr>
          <w:ilvl w:val="0"/>
          <w:numId w:val="2"/>
        </w:numPr>
        <w:spacing w:after="80"/>
      </w:pPr>
      <w:r>
        <w:t xml:space="preserve">Tidak ada CREATE POLICY atau DROP POLICY. Policy 'Allow all usage' yang sudah ada tetap dipakai apa adanya.</w:t>
      </w:r>
    </w:p>
    <w:p>
      <w:pPr>
        <w:pStyle w:val="ListParagraph"/>
        <w:numPr>
          <w:ilvl w:val="0"/>
          <w:numId w:val="2"/>
        </w:numPr>
        <w:spacing w:after="80"/>
      </w:pPr>
      <w:r>
        <w:t xml:space="preserve">Tidak ada CREATE TRIGGER atau function PL/pgSQL baru. Disiplin 'client tidak UPDATE configuration' diterapkan di kode klien, bukan di database.</w:t>
      </w:r>
    </w:p>
    <w:p>
      <w:pPr>
        <w:pStyle w:val="ListParagraph"/>
        <w:numPr>
          <w:ilvl w:val="0"/>
          <w:numId w:val="2"/>
        </w:numPr>
        <w:spacing w:after="80"/>
      </w:pPr>
      <w:r>
        <w:t xml:space="preserve">Tidak ada tambahan ekstensi atau secret di sisi Supabase.</w:t>
      </w:r>
    </w:p>
    <w:p>
      <w:pPr>
        <w:pStyle w:val="ListParagraph"/>
        <w:numPr>
          <w:ilvl w:val="0"/>
          <w:numId w:val="2"/>
        </w:numPr>
        <w:spacing w:after="80"/>
      </w:pPr>
      <w:r>
        <w:t xml:space="preserve">Konsumsi data hanya melalui PostgREST + JWT user, dengan filter otomatis oleh RLS.</w:t>
      </w:r>
    </w:p>
    <w:p>
      <w:pPr>
        <w:spacing w:after="120" w:before="0"/>
      </w:pPr>
      <w:r>
        <w:t xml:space="preserve">Implementator yang mengikuti dokumentasi v1.2 tidak akan pernah berinteraksi dengan Supabase admin atau service_role. Cukup pakai endpoint PostgREST publik dengan JWT user yang sudah login.</w:t>
      </w:r>
    </w:p>
    <w:p>
      <w:pPr>
        <w:pStyle w:val="Heading1"/>
        <w:spacing w:after="200" w:before="360"/>
      </w:pPr>
      <w:r>
        <w:t xml:space="preserve">9. Tindak Lanjut</w:t>
      </w:r>
    </w:p>
    <w:p>
      <w:pPr>
        <w:pStyle w:val="ListParagraph"/>
        <w:numPr>
          <w:ilvl w:val="0"/>
          <w:numId w:val="2"/>
        </w:numPr>
        <w:spacing w:after="80"/>
      </w:pPr>
      <w:r>
        <w:t xml:space="preserve">Tim engineering memulai implementasi project HermesHelperSvc dan namespace HermesNetwork.Sase.Helper plus HermesNetwork.Sase.Config sesuai Bab 4 dan Bab 5.</w:t>
      </w:r>
    </w:p>
    <w:p>
      <w:pPr>
        <w:pStyle w:val="ListParagraph"/>
        <w:numPr>
          <w:ilvl w:val="0"/>
          <w:numId w:val="2"/>
        </w:numPr>
        <w:spacing w:after="80"/>
      </w:pPr>
      <w:r>
        <w:t xml:space="preserve">Tim ops melakukan sign-off bahwa format configuration yang sekarang ada di production akan tetap konsisten. Kalau ada rencana ubah format (mis. JSON), eskalasi sebelum implementasi diteruskan.</w:t>
      </w:r>
    </w:p>
    <w:p>
      <w:pPr>
        <w:pStyle w:val="ListParagraph"/>
        <w:numPr>
          <w:ilvl w:val="0"/>
          <w:numId w:val="2"/>
        </w:numPr>
        <w:spacing w:after="80"/>
      </w:pPr>
      <w:r>
        <w:t xml:space="preserve">Tim DevOps menyiapkan signing certificate (Authenticode untuk Windows, Apple Developer ID untuk macOS) untuk Helper Service.</w:t>
      </w:r>
    </w:p>
    <w:p>
      <w:pPr>
        <w:pStyle w:val="ListParagraph"/>
        <w:numPr>
          <w:ilvl w:val="0"/>
          <w:numId w:val="2"/>
        </w:numPr>
        <w:spacing w:after="80"/>
      </w:pPr>
      <w:r>
        <w:t xml:space="preserve">Phase 0 (Audit) dapat segera dijalankan: pemetaan call site IPC SASE existing ke verb HelperServiceClient yang baru.</w:t>
      </w:r>
    </w:p>
    <w:p>
      <w:pPr>
        <w:pStyle w:val="ListParagraph"/>
        <w:numPr>
          <w:ilvl w:val="0"/>
          <w:numId w:val="2"/>
        </w:numPr>
        <w:spacing w:after="80"/>
      </w:pPr>
      <w:r>
        <w:t xml:space="preserve">Setelah Phase 0 selesai, Phase 1 (Helper Service) bisa berjalan paralel dengan Phase 2 (client side) selama dua minggu pertama.</w:t>
      </w:r>
    </w:p>
    <w:p>
      <w:pPr>
        <w:pStyle w:val="Heading1"/>
        <w:spacing w:after="200" w:before="360"/>
      </w:pPr>
      <w:r>
        <w:t xml:space="preserve">10. Penutup</w:t>
      </w:r>
    </w:p>
    <w:p>
      <w:pPr>
        <w:spacing w:after="120" w:before="0"/>
      </w:pPr>
      <w:r>
        <w:t xml:space="preserve">Trajectory revisi dokumentasi SASE menunjukkan nilai dari iterasi berbasis feedback: dokumen yang awalnya mengusulkan migrasi schema penuh diubah menjadi dokumen yang sama sekali tidak menyentuh database. Ini hanya mungkin karena tim Hermes Network konsisten memberikan koreksi kontekstual yang spesifik dan permintaan validasi yang konkrit.</w:t>
      </w:r>
    </w:p>
    <w:p>
      <w:pPr>
        <w:spacing w:after="120" w:before="0"/>
      </w:pPr>
      <w:r>
        <w:t xml:space="preserve">Dokumentasi v1.2 yang sekarang live di https://ardika.github.io/hermes-sase-docs/ adalah artefak yang siap dipakai. Tidak ada tindakan operasional yang dibebankan ke ops Supabase. Implementasi client dapat berjalan sebagai fitur tertutup yang hanya membaca data yang sudah ada.</w:t>
      </w:r>
    </w:p>
    <w:p>
      <w:pPr>
        <w:spacing w:after="120" w:before="0"/>
      </w:pPr>
      <w:r>
        <w:t xml:space="preserve">Untuk pertanyaan teknis lanjutan, lihat Bab 12 (FAQ) di site dokumentasi atau hubungi tim engineering melalui kanal komunikasi internal Hermes Network Inc.</w:t>
      </w:r>
    </w:p>
    <w:p>
      <w:pPr>
        <w:spacing w:before="400"/>
        <w:jc w:val="center"/>
      </w:pPr>
      <w:r>
        <w:rPr>
          <w:i/>
          <w:iCs/>
          <w:color w:val="808080"/>
        </w:rPr>
        <w:t xml:space="preserve">— akhir dokumen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Halaman </w:t>
    </w:r>
    <w:r>
      <w:rPr>
        <w:color w:val="808080"/>
        <w:sz w:val="18"/>
        <w:szCs w:val="18"/>
      </w:rPr>
      <w:fldChar w:fldCharType="begin"/>
      <w:instrText xml:space="preserve">PAGE</w:instrText>
      <w:fldChar w:fldCharType="separate"/>
      <w:fldChar w:fldCharType="end"/>
    </w:r>
    <w:r>
      <w:rPr>
        <w:color w:val="808080"/>
        <w:sz w:val="18"/>
        <w:szCs w:val="18"/>
      </w:rPr>
      <w:t xml:space="preserve"> dari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Hermes Network 360 Guard — Ringkasan Perubahan Dokumentasi SASE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5B9BD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Ringkasan Perubahan Dokumentasi Refactor SASE</dc:title>
  <dc:creator>Hermes Network Inc.</dc:creator>
  <dc:description>Konsolidasi seluruh iterasi revisi dokumentasi SASE: v1.0 awal, v1.1 tiga koreksi kontekstual, v1.2 schema alignment</dc:description>
  <cp:lastModifiedBy>Un-named</cp:lastModifiedBy>
  <cp:revision>1</cp:revision>
  <dcterms:created xsi:type="dcterms:W3CDTF">2026-05-04T23:06:50.305Z</dcterms:created>
  <dcterms:modified xsi:type="dcterms:W3CDTF">2026-05-04T23:06:50.305Z</dcterms:modified>
</cp:coreProperties>
</file>

<file path=docProps/custom.xml><?xml version="1.0" encoding="utf-8"?>
<Properties xmlns="http://schemas.openxmlformats.org/officeDocument/2006/custom-properties" xmlns:vt="http://schemas.openxmlformats.org/officeDocument/2006/docPropsVTypes"/>
</file>