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rPr>
          <w:color w:val="1a1a1a"/>
        </w:rPr>
      </w:pPr>
      <w:r w:rsidDel="00000000" w:rsidR="00000000" w:rsidRPr="00000000">
        <w:rPr>
          <w:color w:val="1a1a1a"/>
          <w:rtl w:val="0"/>
        </w:rPr>
        <w:t xml:space="preserve">Arduino strives to have all its products free from conflict minerals such as those obtained from entities that directly or indirectly finance conflicts in the Democratic Republic of Congo or its neighboring countries, areas in an armed or fragile state of conflict as well as vulnerable due to lack of governance and security, including violation of human rights.</w:t>
      </w:r>
    </w:p>
    <w:p w:rsidR="00000000" w:rsidDel="00000000" w:rsidP="00000000" w:rsidRDefault="00000000" w:rsidRPr="00000000" w14:paraId="00000002">
      <w:pPr>
        <w:shd w:fill="ffffff" w:val="clear"/>
        <w:rPr>
          <w:color w:val="1a1a1a"/>
        </w:rPr>
      </w:pPr>
      <w:r w:rsidDel="00000000" w:rsidR="00000000" w:rsidRPr="00000000">
        <w:rPr>
          <w:rtl w:val="0"/>
        </w:rPr>
      </w:r>
    </w:p>
    <w:p w:rsidR="00000000" w:rsidDel="00000000" w:rsidP="00000000" w:rsidRDefault="00000000" w:rsidRPr="00000000" w14:paraId="00000003">
      <w:pPr>
        <w:shd w:fill="ffffff" w:val="clear"/>
        <w:rPr>
          <w:color w:val="1a1a1a"/>
        </w:rPr>
      </w:pPr>
      <w:r w:rsidDel="00000000" w:rsidR="00000000" w:rsidRPr="00000000">
        <w:rPr>
          <w:color w:val="1a1a1a"/>
          <w:rtl w:val="0"/>
        </w:rPr>
        <w:t xml:space="preserve">Conflict metals are defined as 3TG (gold, tantalum, tin, and tungsten). Arduino is firmly committed to respecting human rights and the environment also in accordance with international agreements and best practices, including those of the United Nations Global Compact. </w:t>
      </w:r>
    </w:p>
    <w:p w:rsidR="00000000" w:rsidDel="00000000" w:rsidP="00000000" w:rsidRDefault="00000000" w:rsidRPr="00000000" w14:paraId="00000004">
      <w:pPr>
        <w:shd w:fill="ffffff" w:val="clear"/>
        <w:rPr>
          <w:color w:val="1a1a1a"/>
        </w:rPr>
      </w:pPr>
      <w:r w:rsidDel="00000000" w:rsidR="00000000" w:rsidRPr="00000000">
        <w:rPr>
          <w:rtl w:val="0"/>
        </w:rPr>
      </w:r>
    </w:p>
    <w:p w:rsidR="00000000" w:rsidDel="00000000" w:rsidP="00000000" w:rsidRDefault="00000000" w:rsidRPr="00000000" w14:paraId="00000005">
      <w:pPr>
        <w:shd w:fill="ffffff" w:val="clear"/>
        <w:rPr>
          <w:color w:val="1a1a1a"/>
        </w:rPr>
      </w:pPr>
      <w:r w:rsidDel="00000000" w:rsidR="00000000" w:rsidRPr="00000000">
        <w:rPr>
          <w:color w:val="1a1a1a"/>
          <w:rtl w:val="0"/>
        </w:rPr>
        <w:t xml:space="preserve">Arduino does not support and tolerate any conflict negatively affecting the environment or violation of human rights and promotes responsible mineral sourcing in the primary supply chain through due diligence policy and practices. We expect and require our suppliers to have policies and procedures that prevent the use of conflict minerals, by requesting details concerning the minerals used and transparency in the supply chain.</w:t>
      </w:r>
    </w:p>
    <w:p w:rsidR="00000000" w:rsidDel="00000000" w:rsidP="00000000" w:rsidRDefault="00000000" w:rsidRPr="00000000" w14:paraId="00000006">
      <w:pPr>
        <w:shd w:fill="ffffff" w:val="clear"/>
        <w:rPr>
          <w:color w:val="1a1a1a"/>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headerReference r:id="rId6" w:type="default"/>
      <w:footerReference r:id="rId7" w:type="default"/>
      <w:pgSz w:h="15840" w:w="12240" w:orient="portrait"/>
      <w:pgMar w:bottom="1440" w:top="1440" w:left="1440" w:right="1440" w:header="863.9999999999999"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color w:val="6d6d6d"/>
        <w:sz w:val="14"/>
        <w:szCs w:val="14"/>
      </w:rPr>
    </w:pPr>
    <w:r w:rsidDel="00000000" w:rsidR="00000000" w:rsidRPr="00000000">
      <w:rPr>
        <w:color w:val="6d6d6d"/>
        <w:sz w:val="14"/>
        <w:szCs w:val="14"/>
        <w:rtl w:val="0"/>
      </w:rPr>
      <w:t xml:space="preserve">    </w:t>
    </w:r>
  </w:p>
  <w:p w:rsidR="00000000" w:rsidDel="00000000" w:rsidP="00000000" w:rsidRDefault="00000000" w:rsidRPr="00000000" w14:paraId="00000018">
    <w:pPr>
      <w:rPr>
        <w:b w:val="1"/>
        <w:color w:val="535353"/>
        <w:sz w:val="18"/>
        <w:szCs w:val="18"/>
      </w:rPr>
    </w:pPr>
    <w:r w:rsidDel="00000000" w:rsidR="00000000" w:rsidRPr="00000000">
      <w:rPr>
        <w:color w:val="6d6d6d"/>
        <w:sz w:val="14"/>
        <w:szCs w:val="14"/>
        <w:rtl w:val="0"/>
      </w:rPr>
      <w:t xml:space="preserve">                                                  </w:t>
    </w:r>
    <w:r w:rsidDel="00000000" w:rsidR="00000000" w:rsidRPr="00000000">
      <w:rPr>
        <w:rtl w:val="0"/>
      </w:rPr>
    </w:r>
  </w:p>
  <w:p w:rsidR="00000000" w:rsidDel="00000000" w:rsidP="00000000" w:rsidRDefault="00000000" w:rsidRPr="00000000" w14:paraId="00000019">
    <w:pPr>
      <w:rPr>
        <w:b w:val="1"/>
        <w:color w:val="535353"/>
        <w:sz w:val="18"/>
        <w:szCs w:val="1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b w:val="1"/>
              <w:color w:val="7f8c8d"/>
              <w:sz w:val="26"/>
              <w:szCs w:val="26"/>
            </w:rPr>
          </w:pPr>
          <w:r w:rsidDel="00000000" w:rsidR="00000000" w:rsidRPr="00000000">
            <w:rPr>
              <w:b w:val="1"/>
              <w:color w:val="7f8c8d"/>
              <w:sz w:val="26"/>
              <w:szCs w:val="26"/>
              <w:rtl w:val="0"/>
            </w:rPr>
            <w:t xml:space="preserve">Arduino Srl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35353"/>
              <w:sz w:val="18"/>
              <w:szCs w:val="18"/>
            </w:rPr>
          </w:pPr>
          <w:r w:rsidDel="00000000" w:rsidR="00000000" w:rsidRPr="00000000">
            <w:rPr>
              <w:color w:val="535353"/>
              <w:sz w:val="18"/>
              <w:szCs w:val="18"/>
              <w:rtl w:val="0"/>
            </w:rPr>
            <w:t xml:space="preserve">Sede Operativa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35353"/>
              <w:sz w:val="18"/>
              <w:szCs w:val="18"/>
            </w:rPr>
          </w:pPr>
          <w:r w:rsidDel="00000000" w:rsidR="00000000" w:rsidRPr="00000000">
            <w:rPr>
              <w:color w:val="535353"/>
              <w:sz w:val="18"/>
              <w:szCs w:val="18"/>
              <w:rtl w:val="0"/>
            </w:rPr>
            <w:t xml:space="preserve">Sede Legale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35353"/>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35353"/>
              <w:sz w:val="18"/>
              <w:szCs w:val="18"/>
            </w:rPr>
          </w:pPr>
          <w:r w:rsidDel="00000000" w:rsidR="00000000" w:rsidRPr="00000000">
            <w:rPr>
              <w:color w:val="535353"/>
              <w:sz w:val="18"/>
              <w:szCs w:val="18"/>
              <w:rtl w:val="0"/>
            </w:rPr>
            <w:t xml:space="preserve">Toolbox - Via Agostino da Montefeltro 2  10134 Torino (TO)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35353"/>
              <w:sz w:val="18"/>
              <w:szCs w:val="18"/>
            </w:rPr>
          </w:pPr>
          <w:r w:rsidDel="00000000" w:rsidR="00000000" w:rsidRPr="00000000">
            <w:rPr>
              <w:color w:val="535353"/>
              <w:sz w:val="18"/>
              <w:szCs w:val="18"/>
              <w:rtl w:val="0"/>
            </w:rPr>
            <w:t xml:space="preserve">Via Andrea Appiani n. 25 - 20121 Monza P.IVA 09755110963 (MB)</w:t>
          </w:r>
        </w:p>
      </w:tc>
    </w:tr>
  </w:tb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47626</wp:posOffset>
          </wp:positionV>
          <wp:extent cx="1366838" cy="105484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6838" cy="1054842"/>
                  </a:xfrm>
                  <a:prstGeom prst="rect"/>
                  <a:ln/>
                </pic:spPr>
              </pic:pic>
            </a:graphicData>
          </a:graphic>
        </wp:anchor>
      </w:draw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Style w:val="Title"/>
            <w:rPr/>
          </w:pPr>
          <w:bookmarkStart w:colFirst="0" w:colLast="0" w:name="_szji8sm1nh8x" w:id="0"/>
          <w:bookmarkEnd w:id="0"/>
          <w:r w:rsidDel="00000000" w:rsidR="00000000" w:rsidRPr="00000000">
            <w:rPr>
              <w:sz w:val="40"/>
              <w:szCs w:val="40"/>
              <w:rtl w:val="0"/>
            </w:rPr>
            <w:t xml:space="preserve">Conflict Mineral Arduino Report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171e21"/>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Open Sans SemiBold" w:cs="Open Sans SemiBold" w:eastAsia="Open Sans SemiBold" w:hAnsi="Open Sans SemiBold"/>
      <w:color w:val="7f8c8d"/>
      <w:sz w:val="36"/>
      <w:szCs w:val="36"/>
    </w:rPr>
  </w:style>
  <w:style w:type="paragraph" w:styleId="Heading2">
    <w:name w:val="heading 2"/>
    <w:basedOn w:val="Normal"/>
    <w:next w:val="Normal"/>
    <w:pPr>
      <w:keepNext w:val="1"/>
      <w:keepLines w:val="1"/>
      <w:pageBreakBefore w:val="0"/>
      <w:spacing w:after="120" w:before="360" w:lineRule="auto"/>
    </w:pPr>
    <w:rPr>
      <w:rFonts w:ascii="Open Sans SemiBold" w:cs="Open Sans SemiBold" w:eastAsia="Open Sans SemiBold" w:hAnsi="Open Sans SemiBold"/>
      <w:color w:val="7f8c8d"/>
      <w:sz w:val="28"/>
      <w:szCs w:val="28"/>
    </w:rPr>
  </w:style>
  <w:style w:type="paragraph" w:styleId="Heading3">
    <w:name w:val="heading 3"/>
    <w:basedOn w:val="Normal"/>
    <w:next w:val="Normal"/>
    <w:pPr>
      <w:keepNext w:val="1"/>
      <w:keepLines w:val="1"/>
      <w:pageBreakBefore w:val="0"/>
      <w:spacing w:after="80" w:before="320" w:lineRule="auto"/>
    </w:pPr>
    <w:rPr>
      <w:rFonts w:ascii="Open Sans SemiBold" w:cs="Open Sans SemiBold" w:eastAsia="Open Sans SemiBold" w:hAnsi="Open Sans SemiBold"/>
      <w:color w:val="7f8c8d"/>
      <w:sz w:val="24"/>
      <w:szCs w:val="24"/>
    </w:rPr>
  </w:style>
  <w:style w:type="paragraph" w:styleId="Heading4">
    <w:name w:val="heading 4"/>
    <w:basedOn w:val="Normal"/>
    <w:next w:val="Normal"/>
    <w:pPr>
      <w:keepNext w:val="1"/>
      <w:keepLines w:val="1"/>
      <w:pageBreakBefore w:val="0"/>
      <w:shd w:fill="ffffff" w:val="clear"/>
      <w:spacing w:after="80" w:before="280" w:lineRule="auto"/>
    </w:pPr>
    <w:rPr>
      <w:rFonts w:ascii="Roboto Mono SemiBold" w:cs="Roboto Mono SemiBold" w:eastAsia="Roboto Mono SemiBold" w:hAnsi="Roboto Mono SemiBold"/>
      <w:color w:val="9e846d"/>
      <w:sz w:val="24"/>
      <w:szCs w:val="24"/>
    </w:rPr>
  </w:style>
  <w:style w:type="paragraph" w:styleId="Heading5">
    <w:name w:val="heading 5"/>
    <w:basedOn w:val="Normal"/>
    <w:next w:val="Normal"/>
    <w:pPr>
      <w:keepNext w:val="1"/>
      <w:keepLines w:val="1"/>
      <w:pageBreakBefore w:val="0"/>
      <w:spacing w:after="80" w:before="240" w:lineRule="auto"/>
    </w:pPr>
    <w:rPr>
      <w:b w:val="1"/>
      <w:color w:val="f26727"/>
    </w:rPr>
  </w:style>
  <w:style w:type="paragraph" w:styleId="Heading6">
    <w:name w:val="heading 6"/>
    <w:basedOn w:val="Normal"/>
    <w:next w:val="Normal"/>
    <w:pPr>
      <w:keepNext w:val="1"/>
      <w:keepLines w:val="1"/>
      <w:pageBreakBefore w:val="0"/>
      <w:spacing w:after="80" w:before="240" w:lineRule="auto"/>
    </w:pPr>
    <w:rPr>
      <w:i w:val="1"/>
      <w:color w:val="4e5b61"/>
    </w:rPr>
  </w:style>
  <w:style w:type="paragraph" w:styleId="Title">
    <w:name w:val="Title"/>
    <w:basedOn w:val="Normal"/>
    <w:next w:val="Normal"/>
    <w:pPr>
      <w:keepNext w:val="1"/>
      <w:keepLines w:val="1"/>
      <w:pageBreakBefore w:val="0"/>
      <w:shd w:fill="ffffff" w:val="clear"/>
      <w:spacing w:after="80" w:line="240" w:lineRule="auto"/>
    </w:pPr>
    <w:rPr>
      <w:rFonts w:ascii="Roboto Mono SemiBold" w:cs="Roboto Mono SemiBold" w:eastAsia="Roboto Mono SemiBold" w:hAnsi="Roboto Mono SemiBold"/>
      <w:color w:val="008184"/>
      <w:sz w:val="52"/>
      <w:szCs w:val="52"/>
    </w:rPr>
  </w:style>
  <w:style w:type="paragraph" w:styleId="Subtitle">
    <w:name w:val="Subtitle"/>
    <w:basedOn w:val="Normal"/>
    <w:next w:val="Normal"/>
    <w:pPr>
      <w:keepNext w:val="1"/>
      <w:keepLines w:val="1"/>
      <w:pageBreakBefore w:val="0"/>
      <w:spacing w:after="320" w:line="240" w:lineRule="auto"/>
    </w:pPr>
    <w:rPr>
      <w:rFonts w:ascii="Open Sans SemiBold" w:cs="Open Sans SemiBold" w:eastAsia="Open Sans SemiBold" w:hAnsi="Open Sans SemiBold"/>
      <w:color w:val="7f8c8d"/>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