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73"/>
        <w:gridCol w:w="4873"/>
      </w:tblGrid>
      <w:tr>
        <w:tc>
          <w:tcPr>
            <w:tcW w:type="dxa" w:w="2551"/>
          </w:tcPr>
          <w:p>
            <w:r>
              <w:drawing>
                <wp:inline xmlns:a="http://schemas.openxmlformats.org/drawingml/2006/main" xmlns:pic="http://schemas.openxmlformats.org/drawingml/2006/picture">
                  <wp:extent cx="1440000" cy="1440000"/>
                  <wp:docPr id="1" name="Picture 1"/>
                  <wp:cNvGraphicFramePr>
                    <a:graphicFrameLocks noChangeAspect="1"/>
                  </wp:cNvGraphicFramePr>
                  <a:graphic>
                    <a:graphicData uri="http://schemas.openxmlformats.org/drawingml/2006/picture">
                      <pic:pic>
                        <pic:nvPicPr>
                          <pic:cNvPr id="0" name="foto.png"/>
                          <pic:cNvPicPr/>
                        </pic:nvPicPr>
                        <pic:blipFill>
                          <a:blip r:embed="rId9"/>
                          <a:stretch>
                            <a:fillRect/>
                          </a:stretch>
                        </pic:blipFill>
                        <pic:spPr>
                          <a:xfrm>
                            <a:off x="0" y="0"/>
                            <a:ext cx="1440000" cy="1440000"/>
                          </a:xfrm>
                          <a:prstGeom prst="rect"/>
                        </pic:spPr>
                      </pic:pic>
                    </a:graphicData>
                  </a:graphic>
                </wp:inline>
              </w:drawing>
            </w:r>
          </w:p>
        </w:tc>
        <w:tc>
          <w:tcPr>
            <w:tcW w:type="dxa" w:w="6803"/>
          </w:tcPr>
          <w:p>
            <w:r>
              <w:rPr>
                <w:b/>
                <w:color w:val="1F3A5F"/>
                <w:sz w:val="36"/>
              </w:rPr>
              <w:t>Novita Ilmaris, S.Kom., S.H., M.H.</w:t>
            </w:r>
          </w:p>
          <w:p>
            <w:r>
              <w:rPr>
                <w:b/>
                <w:color w:val="B8912F"/>
                <w:sz w:val="23"/>
              </w:rPr>
              <w:t>Sekretaris Jenderal Kementerian Hak Asasi Manusia Republik Indonesia</w:t>
            </w:r>
          </w:p>
        </w:tc>
      </w:tr>
    </w:tbl>
    <w:p>
      <w:pPr>
        <w:spacing w:before="240" w:after="80"/>
        <w:pBdr>
          <w:bottom w:val="single" w:sz="8" w:space="1" w:color="B8912F"/>
        </w:pBdr>
      </w:pPr>
      <w:r>
        <w:rPr>
          <w:b/>
          <w:color w:val="1F3A5F"/>
          <w:sz w:val="24"/>
        </w:rPr>
        <w:t>PROFIL PROFESIONAL</w:t>
      </w:r>
    </w:p>
    <w:p>
      <w:pPr>
        <w:jc w:val="both"/>
      </w:pPr>
      <w:r>
        <w:t>Aparatur Sipil Negara dengan pengalaman lebih dari dua dekade di bidang tata kelola pemerintahan, manajemen sumber daya manusia, keuangan, dan pengelolaan aset negara. Memadukan latar belakang teknologi informasi dan ilmu hukum untuk mendorong birokrasi yang modern, akuntabel, dan berorientasi pada pelayanan publik. Sejak 6 Januari 2025 dipercaya mengemban amanah sebagai Sekretaris Jenderal Kementerian Hak Asasi Manusia RI di bawah kepemimpinan Menteri Hak Asasi Manusia, Natalius Pigai.</w:t>
      </w:r>
    </w:p>
    <w:p>
      <w:pPr>
        <w:spacing w:before="240" w:after="80"/>
        <w:pBdr>
          <w:bottom w:val="single" w:sz="8" w:space="1" w:color="B8912F"/>
        </w:pBdr>
      </w:pPr>
      <w:r>
        <w:rPr>
          <w:b/>
          <w:color w:val="1F3A5F"/>
          <w:sz w:val="24"/>
        </w:rPr>
        <w:t>PERAN DAN TANGGUNG JAWAB STRATEGIS</w:t>
      </w:r>
    </w:p>
    <w:p>
      <w:pPr>
        <w:pStyle w:val="ListBullet"/>
        <w:jc w:val="both"/>
      </w:pPr>
      <w:r>
        <w:t>Mengoordinasikan perencanaan strategis, pengelolaan sumber daya, dan dukungan administrasi bagi seluruh unit kerja di lingkungan Kementerian Hak Asasi Manusia.</w:t>
      </w:r>
    </w:p>
    <w:p>
      <w:pPr>
        <w:pStyle w:val="ListBullet"/>
        <w:jc w:val="both"/>
      </w:pPr>
      <w:r>
        <w:t>Memastikan setiap program dan kebijakan dilaksanakan secara efektif, efisien, dan akuntabel.</w:t>
      </w:r>
    </w:p>
    <w:p>
      <w:pPr>
        <w:pStyle w:val="ListBullet"/>
        <w:jc w:val="both"/>
      </w:pPr>
      <w:r>
        <w:t>Menjembatani visi dan arahan Menteri dengan implementasi program di seluruh unit kerja, sehingga setiap kebijakan dan kegiatan selaras dengan prinsip-prinsip hak asasi manusia.</w:t>
      </w:r>
    </w:p>
    <w:p>
      <w:pPr>
        <w:pStyle w:val="ListBullet"/>
        <w:jc w:val="both"/>
      </w:pPr>
      <w:r>
        <w:t>Menjadi penghubung strategis antara pimpinan, unit kerja, dan masyarakat guna mewujudkan pelayanan publik yang prima.</w:t>
      </w:r>
    </w:p>
    <w:p>
      <w:pPr>
        <w:spacing w:before="240" w:after="80"/>
        <w:pBdr>
          <w:bottom w:val="single" w:sz="8" w:space="1" w:color="B8912F"/>
        </w:pBdr>
      </w:pPr>
      <w:r>
        <w:rPr>
          <w:b/>
          <w:color w:val="1F3A5F"/>
          <w:sz w:val="24"/>
        </w:rPr>
        <w:t>RIWAYAT PENDIDIKAN</w:t>
      </w:r>
    </w:p>
    <w:p>
      <w:pPr>
        <w:tabs>
          <w:tab w:pos="1984" w:val="left"/>
        </w:tabs>
        <w:spacing w:after="40"/>
      </w:pPr>
      <w:r>
        <w:rPr>
          <w:b/>
        </w:rPr>
        <w:t>2021</w:t>
        <w:tab/>
      </w:r>
      <w:r>
        <w:rPr>
          <w:b/>
        </w:rPr>
        <w:t>Magister Hukum (M.H.)</w:t>
      </w:r>
      <w:r>
        <w:t xml:space="preserve"> — Universitas Islam Sultan Agung, Semarang</w:t>
      </w:r>
    </w:p>
    <w:p>
      <w:pPr>
        <w:tabs>
          <w:tab w:pos="1984" w:val="left"/>
        </w:tabs>
        <w:spacing w:after="40"/>
      </w:pPr>
      <w:r>
        <w:rPr>
          <w:b/>
        </w:rPr>
        <w:t>2003</w:t>
        <w:tab/>
      </w:r>
      <w:r>
        <w:rPr>
          <w:b/>
        </w:rPr>
        <w:t>Sarjana Hukum (S.H.)</w:t>
      </w:r>
      <w:r>
        <w:t xml:space="preserve"> — Universitas Indonesia</w:t>
      </w:r>
    </w:p>
    <w:p>
      <w:pPr>
        <w:tabs>
          <w:tab w:pos="1984" w:val="left"/>
        </w:tabs>
        <w:spacing w:after="40"/>
      </w:pPr>
      <w:r>
        <w:rPr>
          <w:b/>
        </w:rPr>
        <w:t>1998</w:t>
        <w:tab/>
      </w:r>
      <w:r>
        <w:rPr>
          <w:b/>
        </w:rPr>
        <w:t>Sarjana Komputer (S.Kom.)</w:t>
      </w:r>
      <w:r>
        <w:t xml:space="preserve"> — STMIK Budi Luhur</w:t>
      </w:r>
    </w:p>
    <w:p>
      <w:pPr>
        <w:spacing w:before="240" w:after="80"/>
        <w:pBdr>
          <w:bottom w:val="single" w:sz="8" w:space="1" w:color="B8912F"/>
        </w:pBdr>
      </w:pPr>
      <w:r>
        <w:rPr>
          <w:b/>
          <w:color w:val="1F3A5F"/>
          <w:sz w:val="24"/>
        </w:rPr>
        <w:t>RIWAYAT JABATAN</w:t>
      </w:r>
    </w:p>
    <w:p>
      <w:pPr>
        <w:tabs>
          <w:tab w:pos="1984" w:val="left"/>
        </w:tabs>
        <w:spacing w:after="40"/>
      </w:pPr>
      <w:r>
        <w:rPr>
          <w:b/>
        </w:rPr>
        <w:t>2025 – sekarang</w:t>
        <w:tab/>
      </w:r>
      <w:r>
        <w:t>Sekretaris Jenderal, Kementerian Hak Asasi Manusia RI</w:t>
      </w:r>
    </w:p>
    <w:p>
      <w:pPr>
        <w:tabs>
          <w:tab w:pos="1984" w:val="left"/>
        </w:tabs>
        <w:spacing w:after="40"/>
      </w:pPr>
      <w:r>
        <w:rPr>
          <w:b/>
        </w:rPr>
        <w:tab/>
      </w:r>
      <w:r>
        <w:t>Sekretaris Direktorat Jenderal Hak Asasi Manusia</w:t>
      </w:r>
    </w:p>
    <w:p>
      <w:pPr>
        <w:tabs>
          <w:tab w:pos="1984" w:val="left"/>
        </w:tabs>
        <w:spacing w:after="40"/>
      </w:pPr>
      <w:r>
        <w:rPr>
          <w:b/>
        </w:rPr>
        <w:tab/>
      </w:r>
      <w:r>
        <w:t>Kepala Biro Pengelolaan Barang Milik Negara</w:t>
      </w:r>
    </w:p>
    <w:p>
      <w:pPr>
        <w:tabs>
          <w:tab w:pos="1984" w:val="left"/>
        </w:tabs>
        <w:spacing w:after="40"/>
      </w:pPr>
      <w:r>
        <w:rPr>
          <w:b/>
        </w:rPr>
        <w:tab/>
      </w:r>
      <w:r>
        <w:t>Kepala Divisi Administrasi, Kantor Wilayah Banten</w:t>
      </w:r>
    </w:p>
    <w:p>
      <w:pPr>
        <w:tabs>
          <w:tab w:pos="1984" w:val="left"/>
        </w:tabs>
        <w:spacing w:after="40"/>
      </w:pPr>
      <w:r>
        <w:rPr>
          <w:b/>
        </w:rPr>
        <w:tab/>
      </w:r>
      <w:r>
        <w:t>Kepala Divisi Administrasi, Kantor Wilayah Daerah Istimewa Yogyakarta</w:t>
      </w:r>
    </w:p>
    <w:p>
      <w:pPr>
        <w:tabs>
          <w:tab w:pos="1984" w:val="left"/>
        </w:tabs>
        <w:spacing w:after="40"/>
      </w:pPr>
      <w:r>
        <w:rPr>
          <w:b/>
        </w:rPr>
        <w:tab/>
      </w:r>
      <w:r>
        <w:t>Kepala Bagian Perencanaan dan Sistem Informasi, Biro Kepegawaian</w:t>
      </w:r>
    </w:p>
    <w:p>
      <w:pPr>
        <w:tabs>
          <w:tab w:pos="1984" w:val="left"/>
        </w:tabs>
        <w:spacing w:after="40"/>
      </w:pPr>
      <w:r>
        <w:rPr>
          <w:b/>
        </w:rPr>
        <w:tab/>
      </w:r>
      <w:r>
        <w:t>Kepala Bagian Tata Usaha Kepegawaian, Biro Kepegawaian</w:t>
      </w:r>
    </w:p>
    <w:p>
      <w:pPr>
        <w:tabs>
          <w:tab w:pos="1984" w:val="left"/>
        </w:tabs>
        <w:spacing w:after="40"/>
      </w:pPr>
      <w:r>
        <w:rPr>
          <w:b/>
        </w:rPr>
        <w:tab/>
      </w:r>
      <w:r>
        <w:t>Kepala Bagian Keuangan, Sekretariat BPSDM</w:t>
      </w:r>
    </w:p>
    <w:p>
      <w:pPr>
        <w:tabs>
          <w:tab w:pos="1984" w:val="left"/>
        </w:tabs>
        <w:spacing w:after="40"/>
      </w:pPr>
      <w:r>
        <w:rPr>
          <w:b/>
        </w:rPr>
        <w:tab/>
      </w:r>
      <w:r>
        <w:t>Kepala Bidang Penyelenggaraan</w:t>
      </w:r>
    </w:p>
    <w:p>
      <w:pPr>
        <w:tabs>
          <w:tab w:pos="1984" w:val="left"/>
        </w:tabs>
        <w:spacing w:after="40"/>
      </w:pPr>
      <w:r>
        <w:rPr>
          <w:b/>
        </w:rPr>
        <w:t>1999</w:t>
        <w:tab/>
      </w:r>
      <w:r>
        <w:t>Pegawai Negeri Sipil, Kementerian Hukum dan HAM RI</w:t>
      </w:r>
    </w:p>
    <w:p>
      <w:pPr>
        <w:spacing w:before="240" w:after="80"/>
        <w:pBdr>
          <w:bottom w:val="single" w:sz="8" w:space="1" w:color="B8912F"/>
        </w:pBdr>
      </w:pPr>
      <w:r>
        <w:rPr>
          <w:b/>
          <w:color w:val="1F3A5F"/>
          <w:sz w:val="24"/>
        </w:rPr>
        <w:t>KARYA DAN PUBLIKASI</w:t>
      </w:r>
    </w:p>
    <w:p>
      <w:r>
        <w:t xml:space="preserve">Aktif menulis gagasan dan pemikiran di berbagai media cetak maupun daring. Karya terbaru berupa buku berjudul </w:t>
      </w:r>
      <w:r>
        <w:rPr>
          <w:i/>
        </w:rPr>
        <w:t>Memimpin Sistem, Menghasilkan Dampak</w:t>
      </w:r>
      <w:r>
        <w: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