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Arial" w:cs="Arial" w:eastAsia="Arial" w:hAnsi="Arial"/>
          <w:b/>
          <w:bCs/>
          <w:sz w:val="28"/>
          <w:szCs w:val="28"/>
          <w:lang w:val="id-ID"/>
        </w:rPr>
        <w:t xml:space="preserve">JAWABAN SOAL ESAI PKP TAHUN 2026</w:t>
      </w:r>
    </w:p>
    <w:p>
      <w:pPr>
        <w:spacing w:after="0" w:line="360"/>
        <w:jc w:val="center"/>
      </w:pPr>
      <w:r>
        <w:rPr>
          <w:rFonts w:ascii="Arial" w:cs="Arial" w:eastAsia="Arial" w:hAnsi="Arial"/>
          <w:b/>
          <w:bCs/>
          <w:sz w:val="24"/>
          <w:szCs w:val="24"/>
          <w:lang w:val="id-ID"/>
        </w:rPr>
        <w:t xml:space="preserve">Mendalami Kegagalan Proyek SJUT Jakarta:</w:t>
      </w:r>
    </w:p>
    <w:p>
      <w:pPr>
        <w:pBdr>
          <w:bottom w:val="single" w:color="000000" w:sz="8" w:space="6"/>
        </w:pBdr>
        <w:spacing w:after="200" w:line="360"/>
        <w:jc w:val="center"/>
      </w:pPr>
      <w:r>
        <w:rPr>
          <w:rFonts w:ascii="Arial" w:cs="Arial" w:eastAsia="Arial" w:hAnsi="Arial"/>
          <w:b/>
          <w:bCs/>
          <w:sz w:val="24"/>
          <w:szCs w:val="24"/>
          <w:lang w:val="id-ID"/>
        </w:rPr>
        <w:t xml:space="preserve">Analisis Komprehensif atas Lima Kejanggalan Utama</w:t>
      </w:r>
    </w:p>
    <w:p>
      <w:pPr>
        <w:tabs>
          <w:tab w:val="left" w:pos="2600"/>
        </w:tabs>
        <w:spacing w:after="0" w:line="360"/>
      </w:pPr>
      <w:r>
        <w:rPr>
          <w:rFonts w:ascii="Arial" w:cs="Arial" w:eastAsia="Arial" w:hAnsi="Arial"/>
          <w:sz w:val="24"/>
          <w:szCs w:val="24"/>
          <w:lang w:val="id-ID"/>
        </w:rPr>
        <w:t xml:space="preserve">Nama Peserta</w:t>
      </w:r>
      <w:r>
        <w:rPr>
          <w:rFonts w:ascii="Arial" w:cs="Arial" w:eastAsia="Arial" w:hAnsi="Arial"/>
          <w:sz w:val="24"/>
          <w:szCs w:val="24"/>
        </w:rPr>
        <w:t xml:space="preserve">	: </w:t>
      </w:r>
      <w:r>
        <w:rPr>
          <w:rFonts w:ascii="Arial" w:cs="Arial" w:eastAsia="Arial" w:hAnsi="Arial"/>
          <w:sz w:val="24"/>
          <w:szCs w:val="24"/>
          <w:lang w:val="id-ID"/>
        </w:rPr>
        <w:t xml:space="preserve">....................................................</w:t>
      </w:r>
    </w:p>
    <w:p>
      <w:pPr>
        <w:tabs>
          <w:tab w:val="left" w:pos="2600"/>
        </w:tabs>
        <w:spacing w:after="0" w:line="360"/>
      </w:pPr>
      <w:r>
        <w:rPr>
          <w:rFonts w:ascii="Arial" w:cs="Arial" w:eastAsia="Arial" w:hAnsi="Arial"/>
          <w:sz w:val="24"/>
          <w:szCs w:val="24"/>
          <w:lang w:val="id-ID"/>
        </w:rPr>
        <w:t xml:space="preserve">NIP</w:t>
      </w:r>
      <w:r>
        <w:rPr>
          <w:rFonts w:ascii="Arial" w:cs="Arial" w:eastAsia="Arial" w:hAnsi="Arial"/>
          <w:sz w:val="24"/>
          <w:szCs w:val="24"/>
        </w:rPr>
        <w:t xml:space="preserve">	: </w:t>
      </w:r>
      <w:r>
        <w:rPr>
          <w:rFonts w:ascii="Arial" w:cs="Arial" w:eastAsia="Arial" w:hAnsi="Arial"/>
          <w:sz w:val="24"/>
          <w:szCs w:val="24"/>
          <w:lang w:val="id-ID"/>
        </w:rPr>
        <w:t xml:space="preserve">....................................................</w:t>
      </w:r>
    </w:p>
    <w:p>
      <w:pPr>
        <w:tabs>
          <w:tab w:val="left" w:pos="2600"/>
        </w:tabs>
        <w:spacing w:after="0" w:line="360"/>
      </w:pPr>
      <w:r>
        <w:rPr>
          <w:rFonts w:ascii="Arial" w:cs="Arial" w:eastAsia="Arial" w:hAnsi="Arial"/>
          <w:sz w:val="24"/>
          <w:szCs w:val="24"/>
          <w:lang w:val="id-ID"/>
        </w:rPr>
        <w:t xml:space="preserve">Angkatan/Kelompok</w:t>
      </w:r>
      <w:r>
        <w:rPr>
          <w:rFonts w:ascii="Arial" w:cs="Arial" w:eastAsia="Arial" w:hAnsi="Arial"/>
          <w:sz w:val="24"/>
          <w:szCs w:val="24"/>
        </w:rPr>
        <w:t xml:space="preserve">	: </w:t>
      </w:r>
      <w:r>
        <w:rPr>
          <w:rFonts w:ascii="Arial" w:cs="Arial" w:eastAsia="Arial" w:hAnsi="Arial"/>
          <w:sz w:val="24"/>
          <w:szCs w:val="24"/>
          <w:lang w:val="id-ID"/>
        </w:rPr>
        <w:t xml:space="preserve">PKP Angkatan 45 / ...............................</w:t>
      </w:r>
    </w:p>
    <w:p>
      <w:pPr>
        <w:tabs>
          <w:tab w:val="left" w:pos="2600"/>
        </w:tabs>
        <w:spacing w:after="0" w:line="360"/>
      </w:pPr>
      <w:r>
        <w:rPr>
          <w:rFonts w:ascii="Arial" w:cs="Arial" w:eastAsia="Arial" w:hAnsi="Arial"/>
          <w:sz w:val="24"/>
          <w:szCs w:val="24"/>
          <w:lang w:val="id-ID"/>
        </w:rPr>
        <w:t xml:space="preserve">Instansi/Unit Kerja</w:t>
      </w:r>
      <w:r>
        <w:rPr>
          <w:rFonts w:ascii="Arial" w:cs="Arial" w:eastAsia="Arial" w:hAnsi="Arial"/>
          <w:sz w:val="24"/>
          <w:szCs w:val="24"/>
        </w:rPr>
        <w:t xml:space="preserve">	: </w:t>
      </w:r>
      <w:r>
        <w:rPr>
          <w:rFonts w:ascii="Arial" w:cs="Arial" w:eastAsia="Arial" w:hAnsi="Arial"/>
          <w:sz w:val="24"/>
          <w:szCs w:val="24"/>
          <w:lang w:val="id-ID"/>
        </w:rPr>
        <w:t xml:space="preserve">....................................................</w:t>
      </w:r>
    </w:p>
    <w:p>
      <w:pPr>
        <w:spacing w:after="120"/>
      </w:pPr>
    </w:p>
    <w:p>
      <w:pPr>
        <w:pStyle w:val="Heading1"/>
      </w:pPr>
      <w:r>
        <w:rPr>
          <w:rFonts w:ascii="Arial" w:cs="Arial" w:eastAsia="Arial" w:hAnsi="Arial"/>
          <w:sz w:val="24"/>
          <w:szCs w:val="24"/>
          <w:lang w:val="id-ID"/>
        </w:rPr>
        <w:t xml:space="preserve">PENDAHULUAN</w:t>
      </w:r>
    </w:p>
    <w:p>
      <w:pPr>
        <w:spacing w:after="120" w:before="0" w:line="360"/>
        <w:jc w:val="both"/>
      </w:pPr>
      <w:r>
        <w:rPr>
          <w:rFonts w:ascii="Arial" w:cs="Arial" w:eastAsia="Arial" w:hAnsi="Arial"/>
          <w:sz w:val="24"/>
          <w:szCs w:val="24"/>
          <w:lang w:val="id-ID"/>
        </w:rPr>
        <w:t xml:space="preserve">Sarana Jaringan Utilitas Terpadu (SJUT) dibangun untuk memindahkan kabel udara yang semrawut ke dalam saluran (</w:t>
      </w:r>
      <w:r>
        <w:rPr>
          <w:rFonts w:ascii="Arial" w:cs="Arial" w:eastAsia="Arial" w:hAnsi="Arial"/>
          <w:i/>
          <w:iCs/>
          <w:sz w:val="24"/>
          <w:szCs w:val="24"/>
          <w:lang w:val="id-ID"/>
        </w:rPr>
        <w:t xml:space="preserve">ducting</w:t>
      </w:r>
      <w:r>
        <w:rPr>
          <w:rFonts w:ascii="Arial" w:cs="Arial" w:eastAsia="Arial" w:hAnsi="Arial"/>
          <w:sz w:val="24"/>
          <w:szCs w:val="24"/>
          <w:lang w:val="id-ID"/>
        </w:rPr>
        <w:t xml:space="preserve">) bawah tanah agar Jakarta lebih aman, tertib, dan estetis. Namun, Ombudsman RI menemukan lima kejanggalan yang membuat proyek ini jauh dari target. Analisis berikut mengikuti alur Diagnosa Organisasi (DO) Agenda II PKP: memetakan kesenjangan antara kondisi saat ini dan kondisi yang diharapkan, menelusuri penyebab dengan diagram </w:t>
      </w:r>
      <w:r>
        <w:rPr>
          <w:rFonts w:ascii="Arial" w:cs="Arial" w:eastAsia="Arial" w:hAnsi="Arial"/>
          <w:i/>
          <w:iCs/>
          <w:sz w:val="24"/>
          <w:szCs w:val="24"/>
          <w:lang w:val="id-ID"/>
        </w:rPr>
        <w:t xml:space="preserve">fishbone</w:t>
      </w:r>
      <w:r>
        <w:rPr>
          <w:rFonts w:ascii="Arial" w:cs="Arial" w:eastAsia="Arial" w:hAnsi="Arial"/>
          <w:sz w:val="24"/>
          <w:szCs w:val="24"/>
          <w:lang w:val="id-ID"/>
        </w:rPr>
        <w:t xml:space="preserve">, menetapkan akar masalah dominan dengan analisis USG, merumuskan alternatif solusi kreatif, memilih solusi prioritas dengan Tapisan McNamara, lalu menguji solusi terpilih dengan lima kriteria terobosan inovatif dan nilai dasar ASN BerAKHLAK.</w:t>
      </w:r>
    </w:p>
    <w:p>
      <w:pPr>
        <w:pStyle w:val="Heading1"/>
      </w:pPr>
      <w:r>
        <w:rPr>
          <w:rFonts w:ascii="Arial" w:cs="Arial" w:eastAsia="Arial" w:hAnsi="Arial"/>
          <w:sz w:val="24"/>
          <w:szCs w:val="24"/>
          <w:lang w:val="id-ID"/>
        </w:rPr>
        <w:t xml:space="preserve">A. IDENTIFIKASI MASALAH: MENGAPA REALISASI SJUT JAUH DARI TARGET?</w:t>
      </w:r>
    </w:p>
    <w:p>
      <w:pPr>
        <w:pStyle w:val="Heading2"/>
      </w:pPr>
      <w:r>
        <w:rPr>
          <w:rFonts w:ascii="Arial" w:cs="Arial" w:eastAsia="Arial" w:hAnsi="Arial"/>
          <w:sz w:val="24"/>
          <w:szCs w:val="24"/>
          <w:lang w:val="id-ID"/>
        </w:rPr>
        <w:t xml:space="preserve">A.1 Kondisi Saat Ini, Kondisi yang Diharapkan, dan Kesenjangan</w:t>
      </w:r>
    </w:p>
    <w:p>
      <w:pPr>
        <w:spacing w:after="120" w:before="0" w:line="360"/>
        <w:jc w:val="both"/>
      </w:pPr>
      <w:r>
        <w:rPr>
          <w:rFonts w:ascii="Arial" w:cs="Arial" w:eastAsia="Arial" w:hAnsi="Arial"/>
          <w:sz w:val="24"/>
          <w:szCs w:val="24"/>
          <w:lang w:val="id-ID"/>
        </w:rPr>
        <w:t xml:space="preserve">Kelima kejanggalan temuan Ombudsman dipetakan sebagai kesenjangan antara kondisi saat ini dan kondisi yang diharapkan pada Tabel 1.</w:t>
      </w:r>
    </w:p>
    <w:p>
      <w:pPr>
        <w:keepNext/>
        <w:spacing w:after="80" w:before="120" w:line="276"/>
        <w:jc w:val="center"/>
      </w:pPr>
      <w:r>
        <w:rPr>
          <w:rFonts w:ascii="Arial" w:cs="Arial" w:eastAsia="Arial" w:hAnsi="Arial"/>
          <w:b/>
          <w:bCs/>
          <w:sz w:val="22"/>
          <w:szCs w:val="22"/>
          <w:lang w:val="id-ID"/>
        </w:rPr>
        <w:t xml:space="preserve">Tabel 1. Pemetaan Kesenjangan Penyelenggaraan SJUT Jakarta</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1700"/>
        <w:gridCol w:w="2600"/>
        <w:gridCol w:w="2200"/>
        <w:gridCol w:w="1727"/>
      </w:tblGrid>
      <w:tr>
        <w:trPr>
          <w:cantSplit/>
          <w:tblHeader/>
        </w:trPr>
        <w:tc>
          <w:tcPr>
            <w:tcW w:type="dxa" w:w="56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No</w:t>
            </w:r>
          </w:p>
        </w:tc>
        <w:tc>
          <w:tcPr>
            <w:tcW w:type="dxa" w:w="17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Aspek</w:t>
            </w:r>
          </w:p>
        </w:tc>
        <w:tc>
          <w:tcPr>
            <w:tcW w:type="dxa" w:w="26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Kondisi Saat Ini</w:t>
            </w:r>
          </w:p>
        </w:tc>
        <w:tc>
          <w:tcPr>
            <w:tcW w:type="dxa" w:w="22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Kondisi yang Diharapkan</w:t>
            </w:r>
          </w:p>
        </w:tc>
        <w:tc>
          <w:tcPr>
            <w:tcW w:type="dxa" w:w="172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Kesenjangan (Masalah)</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w:t>
            </w:r>
          </w:p>
        </w:tc>
        <w:tc>
          <w:tcPr>
            <w:tcW w:type="dxa" w:w="17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Realisasi pembangunan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Realisasi PT Jakpro baru 22,6% dan Perumda Pembangunan Sarana Jaya 1,15% dari ruas yang ditugaskan.</w:t>
            </w:r>
            <w:r>
              <w:rPr>
                <w:rStyle w:val="FootnoteReference"/>
              </w:rPr>
              <w:footnoteReference w:id="1"/>
            </w:r>
          </w:p>
        </w:tc>
        <w:tc>
          <w:tcPr>
            <w:tcW w:type="dxa" w:w="22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SJUT terbangun sesuai target dan jadwal penugasan.</w:t>
            </w:r>
          </w:p>
        </w:tc>
        <w:tc>
          <w:tcPr>
            <w:tcW w:type="dxa" w:w="172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Realisasi sangat jauh dari target.</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2</w:t>
            </w:r>
          </w:p>
        </w:tc>
        <w:tc>
          <w:tcPr>
            <w:tcW w:type="dxa" w:w="17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Regulasi</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Keputusan gubernur tentang lokasi penugasan SJUT</w:t>
            </w:r>
            <w:r>
              <w:rPr>
                <w:rStyle w:val="FootnoteReference"/>
              </w:rPr>
              <w:footnoteReference w:id="2"/>
            </w:r>
            <w:r>
              <w:rPr>
                <w:rFonts w:ascii="Arial" w:cs="Arial" w:eastAsia="Arial" w:hAnsi="Arial"/>
                <w:sz w:val="22"/>
                <w:szCs w:val="22"/>
                <w:lang w:val="id-ID"/>
              </w:rPr>
              <w:t xml:space="preserve"> habis masa berlakunya; regulasi pengganti tidak segera terbit dan progres tidak dievaluasi sehingga pekerjaan terhenti.</w:t>
            </w:r>
          </w:p>
        </w:tc>
        <w:tc>
          <w:tcPr>
            <w:tcW w:type="dxa" w:w="22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Payung hukum berkesinambungan dan diperbarui berdasarkan evaluasi kinerja.</w:t>
            </w:r>
          </w:p>
        </w:tc>
        <w:tc>
          <w:tcPr>
            <w:tcW w:type="dxa" w:w="172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Kekosongan payung hukum dan evaluasi.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17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Perencanaan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Belum ada rencana induk yang memuat tata ruang wilayah, pembangunan daerah, dan target penyelesaian.</w:t>
            </w:r>
          </w:p>
        </w:tc>
        <w:tc>
          <w:tcPr>
            <w:tcW w:type="dxa" w:w="22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Rencana induk SJUT terintegrasi dengan RTRW dan RPJMD, lengkap dengan ruas prioritas dan jadwal.</w:t>
            </w:r>
          </w:p>
        </w:tc>
        <w:tc>
          <w:tcPr>
            <w:tcW w:type="dxa" w:w="172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Pembangunan tanpa arah dan tolok ukur.</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17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bekas dan keselamatan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bekas dan limbahnya di dalam tanah, permukaan, dan udara tidak dikelola; terjadi korban jiwa, korsleting, dan kota semrawut; pemerintah bertindak setelah ada aduan atau korban.</w:t>
            </w:r>
          </w:p>
        </w:tc>
        <w:tc>
          <w:tcPr>
            <w:tcW w:type="dxa" w:w="22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bekas terdata, dibongkar, dan didaur ulang secara terjadwal; penanganan bersifat pencegahan.</w:t>
            </w:r>
          </w:p>
        </w:tc>
        <w:tc>
          <w:tcPr>
            <w:tcW w:type="dxa" w:w="172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Risiko keselamatan dan pola penanganan reaktif.</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17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Panduan teknis dan tarif</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Kominfo (kini Komdigi) belum menyusun panduan teknis SJUT (panduan yang ada hanya mengatur perizinan) dan belum optimal menangani keluhan tarif.</w:t>
            </w:r>
          </w:p>
        </w:tc>
        <w:tc>
          <w:tcPr>
            <w:tcW w:type="dxa" w:w="22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Standar teknis SJUT jelas; tarif transparan, adil, dan disepakati para pihak.</w:t>
            </w:r>
          </w:p>
        </w:tc>
        <w:tc>
          <w:tcPr>
            <w:tcW w:type="dxa" w:w="172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Ketidakpastian teknis dan tarif bagi operator.</w:t>
            </w:r>
          </w:p>
        </w:tc>
      </w:tr>
    </w:tbl>
    <w:p>
      <w:pPr>
        <w:spacing w:after="120" w:before="160" w:line="360"/>
        <w:jc w:val="both"/>
      </w:pPr>
      <w:r>
        <w:rPr>
          <w:rFonts w:ascii="Arial" w:cs="Arial" w:eastAsia="Arial" w:hAnsi="Arial"/>
          <w:sz w:val="24"/>
          <w:szCs w:val="24"/>
          <w:lang w:val="id-ID"/>
        </w:rPr>
        <w:t xml:space="preserve">Berdasarkan pemetaan tersebut, masalah utama (kepala ikan) dirumuskan sebagai: </w:t>
      </w:r>
      <w:r>
        <w:rPr>
          <w:rFonts w:ascii="Arial" w:cs="Arial" w:eastAsia="Arial" w:hAnsi="Arial"/>
          <w:b/>
          <w:bCs/>
          <w:sz w:val="24"/>
          <w:szCs w:val="24"/>
          <w:lang w:val="id-ID"/>
        </w:rPr>
        <w:t xml:space="preserve">realisasi pembangunan SJUT jauh dari target (PT Jakpro 22,6%; Perumda Pembangunan Sarana Jaya 1,15%)</w:t>
      </w:r>
      <w:r>
        <w:rPr>
          <w:rFonts w:ascii="Arial" w:cs="Arial" w:eastAsia="Arial" w:hAnsi="Arial"/>
          <w:sz w:val="24"/>
          <w:szCs w:val="24"/>
          <w:lang w:val="id-ID"/>
        </w:rPr>
        <w:t xml:space="preserve">. Empat kejanggalan lainnya bukan masalah yang berdiri sendiri, melainkan penyebab yang saling terkait sehingga perlu ditelusuri hingga ke akarnya.</w:t>
      </w:r>
    </w:p>
    <w:p>
      <w:pPr>
        <w:pStyle w:val="Heading2"/>
      </w:pPr>
      <w:r>
        <w:rPr>
          <w:rFonts w:ascii="Arial" w:cs="Arial" w:eastAsia="Arial" w:hAnsi="Arial"/>
          <w:sz w:val="24"/>
          <w:szCs w:val="24"/>
          <w:lang w:val="id-ID"/>
        </w:rPr>
        <w:t xml:space="preserve">A.2 Analisis Penyebab dengan Diagram Fishbone (Ishikawa)</w:t>
      </w:r>
    </w:p>
    <w:p>
      <w:pPr>
        <w:spacing w:after="120" w:before="0" w:line="360"/>
        <w:jc w:val="both"/>
      </w:pPr>
      <w:r>
        <w:rPr>
          <w:rFonts w:ascii="Arial" w:cs="Arial" w:eastAsia="Arial" w:hAnsi="Arial"/>
          <w:sz w:val="24"/>
          <w:szCs w:val="24"/>
          <w:lang w:val="id-ID"/>
        </w:rPr>
        <w:t xml:space="preserve">Penyebab masalah utama ditelusuri dengan diagram </w:t>
      </w:r>
      <w:r>
        <w:rPr>
          <w:rFonts w:ascii="Arial" w:cs="Arial" w:eastAsia="Arial" w:hAnsi="Arial"/>
          <w:i/>
          <w:iCs/>
          <w:sz w:val="24"/>
          <w:szCs w:val="24"/>
          <w:lang w:val="id-ID"/>
        </w:rPr>
        <w:t xml:space="preserve">fishbone</w:t>
      </w:r>
      <w:r>
        <w:rPr>
          <w:rFonts w:ascii="Arial" w:cs="Arial" w:eastAsia="Arial" w:hAnsi="Arial"/>
          <w:sz w:val="24"/>
          <w:szCs w:val="24"/>
          <w:lang w:val="id-ID"/>
        </w:rPr>
        <w:t xml:space="preserve"> (Ishikawa) menggunakan kategori 6M yang sejalan dengan matriks unsur manajemen dalam DO, yaitu </w:t>
      </w:r>
      <w:r>
        <w:rPr>
          <w:rFonts w:ascii="Arial" w:cs="Arial" w:eastAsia="Arial" w:hAnsi="Arial"/>
          <w:i/>
          <w:iCs/>
          <w:sz w:val="24"/>
          <w:szCs w:val="24"/>
          <w:lang w:val="id-ID"/>
        </w:rPr>
        <w:t xml:space="preserve">Man</w:t>
      </w:r>
      <w:r>
        <w:rPr>
          <w:rFonts w:ascii="Arial" w:cs="Arial" w:eastAsia="Arial" w:hAnsi="Arial"/>
          <w:sz w:val="24"/>
          <w:szCs w:val="24"/>
          <w:lang w:val="id-ID"/>
        </w:rPr>
        <w:t xml:space="preserve">, </w:t>
      </w:r>
      <w:r>
        <w:rPr>
          <w:rFonts w:ascii="Arial" w:cs="Arial" w:eastAsia="Arial" w:hAnsi="Arial"/>
          <w:i/>
          <w:iCs/>
          <w:sz w:val="24"/>
          <w:szCs w:val="24"/>
          <w:lang w:val="id-ID"/>
        </w:rPr>
        <w:t xml:space="preserve">Method</w:t>
      </w:r>
      <w:r>
        <w:rPr>
          <w:rFonts w:ascii="Arial" w:cs="Arial" w:eastAsia="Arial" w:hAnsi="Arial"/>
          <w:sz w:val="24"/>
          <w:szCs w:val="24"/>
          <w:lang w:val="id-ID"/>
        </w:rPr>
        <w:t xml:space="preserve">, </w:t>
      </w:r>
      <w:r>
        <w:rPr>
          <w:rFonts w:ascii="Arial" w:cs="Arial" w:eastAsia="Arial" w:hAnsi="Arial"/>
          <w:i/>
          <w:iCs/>
          <w:sz w:val="24"/>
          <w:szCs w:val="24"/>
          <w:lang w:val="id-ID"/>
        </w:rPr>
        <w:t xml:space="preserve">Money</w:t>
      </w:r>
      <w:r>
        <w:rPr>
          <w:rFonts w:ascii="Arial" w:cs="Arial" w:eastAsia="Arial" w:hAnsi="Arial"/>
          <w:sz w:val="24"/>
          <w:szCs w:val="24"/>
          <w:lang w:val="id-ID"/>
        </w:rPr>
        <w:t xml:space="preserve">, </w:t>
      </w:r>
      <w:r>
        <w:rPr>
          <w:rFonts w:ascii="Arial" w:cs="Arial" w:eastAsia="Arial" w:hAnsi="Arial"/>
          <w:i/>
          <w:iCs/>
          <w:sz w:val="24"/>
          <w:szCs w:val="24"/>
          <w:lang w:val="id-ID"/>
        </w:rPr>
        <w:t xml:space="preserve">Material</w:t>
      </w:r>
      <w:r>
        <w:rPr>
          <w:rFonts w:ascii="Arial" w:cs="Arial" w:eastAsia="Arial" w:hAnsi="Arial"/>
          <w:sz w:val="24"/>
          <w:szCs w:val="24"/>
          <w:lang w:val="id-ID"/>
        </w:rPr>
        <w:t xml:space="preserve">, </w:t>
      </w:r>
      <w:r>
        <w:rPr>
          <w:rFonts w:ascii="Arial" w:cs="Arial" w:eastAsia="Arial" w:hAnsi="Arial"/>
          <w:i/>
          <w:iCs/>
          <w:sz w:val="24"/>
          <w:szCs w:val="24"/>
          <w:lang w:val="id-ID"/>
        </w:rPr>
        <w:t xml:space="preserve">Machine</w:t>
      </w:r>
      <w:r>
        <w:rPr>
          <w:rFonts w:ascii="Arial" w:cs="Arial" w:eastAsia="Arial" w:hAnsi="Arial"/>
          <w:sz w:val="24"/>
          <w:szCs w:val="24"/>
          <w:lang w:val="id-ID"/>
        </w:rPr>
        <w:t xml:space="preserve">, dan </w:t>
      </w:r>
      <w:r>
        <w:rPr>
          <w:rFonts w:ascii="Arial" w:cs="Arial" w:eastAsia="Arial" w:hAnsi="Arial"/>
          <w:i/>
          <w:iCs/>
          <w:sz w:val="24"/>
          <w:szCs w:val="24"/>
          <w:lang w:val="id-ID"/>
        </w:rPr>
        <w:t xml:space="preserve">Market/Environment</w:t>
      </w:r>
      <w:r>
        <w:rPr>
          <w:rFonts w:ascii="Arial" w:cs="Arial" w:eastAsia="Arial" w:hAnsi="Arial"/>
          <w:sz w:val="24"/>
          <w:szCs w:val="24"/>
          <w:lang w:val="id-ID"/>
        </w:rPr>
        <w:t xml:space="preserve">. Hasilnya disajikan pada Gambar 1 (halaman berikut) dan diuraikan pada Tabel 2.</w:t>
      </w:r>
    </w:p>
    <w:p>
      <w:pPr>
        <w:sectPr>
          <w:footerReference w:type="default" r:id="rId6"/>
          <w:pgSz w:w="11906" w:h="16838" w:orient="portrait"/>
          <w:pgMar w:top="1418" w:right="1418" w:bottom="1418" w:left="1701" w:header="709" w:footer="709" w:gutter="0"/>
          <w:pgNumType/>
          <w:docGrid w:linePitch="360"/>
        </w:sectPr>
      </w:pPr>
    </w:p>
    <w:p>
      <w:pPr>
        <w:spacing w:after="60" w:before="0" w:line="240" w:lineRule="auto"/>
        <w:jc w:val="center"/>
      </w:pPr>
      <w:r>
        <w:drawing>
          <wp:inline distT="0" distB="0" distL="0" distR="0">
            <wp:extent cx="9048750" cy="5381625"/>
            <wp:effectExtent t="0" r="0" b="0" l="0"/>
            <wp:docPr id="1" name="fishbone" descr="Diagram Ishikawa 6M penyebab rendahnya realisasi pembangunan SJUT Jakarta" title="Diagram Fishbone SJ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 cy="5381625"/>
                    </a:xfrm>
                    <a:prstGeom prst="rect">
                      <a:avLst/>
                    </a:prstGeom>
                  </pic:spPr>
                </pic:pic>
              </a:graphicData>
            </a:graphic>
          </wp:inline>
        </w:drawing>
      </w:r>
    </w:p>
    <w:p>
      <w:pPr>
        <w:spacing w:after="20" w:line="276"/>
        <w:jc w:val="center"/>
      </w:pPr>
      <w:r>
        <w:rPr>
          <w:rFonts w:ascii="Arial" w:cs="Arial" w:eastAsia="Arial" w:hAnsi="Arial"/>
          <w:b/>
          <w:bCs/>
          <w:sz w:val="22"/>
          <w:szCs w:val="22"/>
          <w:lang w:val="id-ID"/>
        </w:rPr>
        <w:t xml:space="preserve">Gambar 1. Diagram </w:t>
      </w:r>
      <w:r>
        <w:rPr>
          <w:rFonts w:ascii="Arial" w:cs="Arial" w:eastAsia="Arial" w:hAnsi="Arial"/>
          <w:b/>
          <w:bCs/>
          <w:i/>
          <w:iCs/>
          <w:sz w:val="22"/>
          <w:szCs w:val="22"/>
          <w:lang w:val="id-ID"/>
        </w:rPr>
        <w:t xml:space="preserve">Fishbone</w:t>
      </w:r>
      <w:r>
        <w:rPr>
          <w:rFonts w:ascii="Arial" w:cs="Arial" w:eastAsia="Arial" w:hAnsi="Arial"/>
          <w:b/>
          <w:bCs/>
          <w:sz w:val="22"/>
          <w:szCs w:val="22"/>
          <w:lang w:val="id-ID"/>
        </w:rPr>
        <w:t xml:space="preserve"> Penyebab Rendahnya Realisasi Pembangunan SJUT Jakarta</w:t>
      </w:r>
    </w:p>
    <w:p>
      <w:pPr>
        <w:spacing w:after="0" w:line="240"/>
        <w:jc w:val="center"/>
      </w:pPr>
      <w:r>
        <w:rPr>
          <w:rFonts w:ascii="Arial" w:cs="Arial" w:eastAsia="Arial" w:hAnsi="Arial"/>
          <w:i/>
          <w:iCs/>
          <w:sz w:val="20"/>
          <w:szCs w:val="20"/>
          <w:lang w:val="id-ID"/>
        </w:rPr>
        <w:t xml:space="preserve">Nomor 1–19 merujuk pada uraian penyebab di Tabel 2 dan pengelompokan masalah pokok di Tabel 3. Sumber: analisis penulis berdasarkan kasus dan temuan Ombudsman RI.</w:t>
      </w:r>
    </w:p>
    <w:p>
      <w:pPr>
        <w:sectPr>
          <w:footerReference w:type="default" r:id="rId7"/>
          <w:type w:val="nextPage"/>
          <w:pgSz w:w="16838" w:h="11906" w:orient="landscape"/>
          <w:pgMar w:top="1134" w:right="1134" w:bottom="1021" w:left="1134" w:header="567" w:footer="567" w:gutter="0"/>
          <w:pgNumType/>
          <w:docGrid w:linePitch="360"/>
        </w:sectPr>
      </w:pPr>
    </w:p>
    <w:p>
      <w:pPr>
        <w:keepNext/>
        <w:spacing w:after="80" w:before="120" w:line="276"/>
        <w:jc w:val="center"/>
      </w:pPr>
      <w:r>
        <w:rPr>
          <w:rFonts w:ascii="Arial" w:cs="Arial" w:eastAsia="Arial" w:hAnsi="Arial"/>
          <w:b/>
          <w:bCs/>
          <w:sz w:val="22"/>
          <w:szCs w:val="22"/>
          <w:lang w:val="id-ID"/>
        </w:rPr>
        <w:t xml:space="preserve">Tabel 2. Uraian Penyebab pada Diagram Fishbone</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50"/>
        <w:gridCol w:w="2600"/>
        <w:gridCol w:w="4437"/>
      </w:tblGrid>
      <w:tr>
        <w:trPr>
          <w:cantSplit/>
          <w:tblHeader/>
        </w:trPr>
        <w:tc>
          <w:tcPr>
            <w:tcW w:type="dxa" w:w="175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Kategori (6M)</w:t>
            </w:r>
          </w:p>
        </w:tc>
        <w:tc>
          <w:tcPr>
            <w:tcW w:type="dxa" w:w="26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Penyebab</w:t>
            </w:r>
          </w:p>
        </w:tc>
        <w:tc>
          <w:tcPr>
            <w:tcW w:type="dxa" w:w="443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Penjelasan dan Bukti dari Kasus</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Man</w:t>
            </w:r>
          </w:p>
          <w:p>
            <w:pPr>
              <w:spacing w:after="40" w:before="40" w:line="240"/>
              <w:jc w:val="center"/>
            </w:pPr>
            <w:r>
              <w:rPr>
                <w:rFonts w:ascii="Arial" w:cs="Arial" w:eastAsia="Arial" w:hAnsi="Arial"/>
                <w:sz w:val="22"/>
                <w:szCs w:val="22"/>
                <w:lang w:val="id-ID"/>
              </w:rPr>
              <w:t xml:space="preserve">(SDM &amp; Kelembagaan)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 Tidak ada </w:t>
            </w:r>
            <w:r>
              <w:rPr>
                <w:rFonts w:ascii="Arial" w:cs="Arial" w:eastAsia="Arial" w:hAnsi="Arial"/>
                <w:i/>
                <w:iCs/>
                <w:sz w:val="22"/>
                <w:szCs w:val="22"/>
                <w:lang w:val="id-ID"/>
              </w:rPr>
              <w:t xml:space="preserve">leading sector</w:t>
            </w:r>
            <w:r>
              <w:rPr>
                <w:rFonts w:ascii="Arial" w:cs="Arial" w:eastAsia="Arial" w:hAnsi="Arial"/>
                <w:sz w:val="22"/>
                <w:szCs w:val="22"/>
                <w:lang w:val="id-ID"/>
              </w:rPr>
              <w:t xml:space="preserve">/PMO lintas perangkat daerah</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SJUT melibatkan Bina Marga, Diskominfotik, Citata, Bappeda, BP BUMD, dan dua BUMD, tetapi tidak ada satu komando yang memegang target; bahkan berakhirnya regulasi tidak ada yang mengevaluasi.</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(2) Kapasitas dan komitmen BUMD pelaksana rendah</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Realisasi 22,6% (Jakpro) dan 1,15% (Sarana Jaya) mengindikasikan penugasan tidak diikuti kesiapan teknis, SDM, dan pendanaan.</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(3) Pengawasan Pemprov atas BUMD lemah; pola kerja reaktif</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Progres BUMD tidak dievaluasi, dan pemerintah baru bertindak setelah ada pengaduan atau korban, termasuk kasus warga terlilit kabel optik hingga meninggal.</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Method</w:t>
            </w:r>
          </w:p>
          <w:p>
            <w:pPr>
              <w:spacing w:after="40" w:before="40" w:line="240"/>
              <w:jc w:val="center"/>
            </w:pPr>
            <w:r>
              <w:rPr>
                <w:rFonts w:ascii="Arial" w:cs="Arial" w:eastAsia="Arial" w:hAnsi="Arial"/>
                <w:sz w:val="22"/>
                <w:szCs w:val="22"/>
                <w:lang w:val="id-ID"/>
              </w:rPr>
              <w:t xml:space="preserve">(Regulasi &amp; Perencanaan)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(4) Regulasi penugasan habis tanpa pengganti dan evaluasi</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Kekosongan payung hukum membuat pekerjaan terhenti, sementara progres sebelumnya tidak dievaluasi.</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(5) Belum ada rencana induk (RTRW, RPJMD, target)</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Tidak ada ruas prioritas, tahapan, dan target penyelesaian yang mengikat sebagai tolok ukur kinerja.</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(6) Tidak ada monev berkala dan KPI penugasan</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Deviasi progres tidak terdeteksi dan tidak dikoreksi sejak dini.</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(7) Panduan teknis SJUT nasional belum tersedia</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Panduan Kominfo hanya mengatur perizinan jaringan telekomunikasi; standar desain, konstruksi, dan tarif SJUT belum seragam.</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Money</w:t>
            </w:r>
          </w:p>
          <w:p>
            <w:pPr>
              <w:spacing w:after="40" w:before="40" w:line="240"/>
              <w:jc w:val="center"/>
            </w:pPr>
            <w:r>
              <w:rPr>
                <w:rFonts w:ascii="Arial" w:cs="Arial" w:eastAsia="Arial" w:hAnsi="Arial"/>
                <w:sz w:val="22"/>
                <w:szCs w:val="22"/>
                <w:lang w:val="id-ID"/>
              </w:rPr>
              <w:t xml:space="preserve">(Pembiayaan &amp; Tarif)</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(8) Tarif sewa tidak transparan dan belum disepakati operator</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Keluhan tarif tidak tertangani optimal sehingga operator menunda migrasi ke SJUT.</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(9) Model bisnis dan pengembalian investasi BUMD tidak pasti</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Tanpa kepastian penyewa dan tarif, pendapatan sewa tidak dapat diproyeksikan sehingga BUMD menahan investasi.</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(10) Belum ada insentif dan disinsentif migrasi kabel</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Operator menanggung biaya ganda (relokasi dan sewa), sementara kabel udara dibiarkan tanpa batas waktu.</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Material</w:t>
            </w:r>
          </w:p>
          <w:p>
            <w:pPr>
              <w:spacing w:after="40" w:before="40" w:line="240"/>
              <w:jc w:val="center"/>
            </w:pPr>
            <w:r>
              <w:rPr>
                <w:rFonts w:ascii="Arial" w:cs="Arial" w:eastAsia="Arial" w:hAnsi="Arial"/>
                <w:sz w:val="22"/>
                <w:szCs w:val="22"/>
                <w:lang w:val="id-ID"/>
              </w:rPr>
              <w:t xml:space="preserve">(Aset &amp; Kabel Bekas)</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(11) Kabel bekas dan limbah (tanah, permukaan, udara) tidak dikelola</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mati menumpuk, membahayakan warga (terlilit, korsleting), dan merusak estetika kota.</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(12) Belum ada regulasi pengelolaan limbah kabel</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Belum ada aturan nasional maupun teknis daerah tentang pembongkaran dan pengelolaan limbah kabel.</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(13) Inventaris pemilik dan status jaringan eksisting tidak ada</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Kepemilikan dan status kabel (aktif/mati) tidak diketahui sehingga pembongkaran dan migrasi sulit dibebankan kepada pemiliknya.</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Machine</w:t>
            </w:r>
          </w:p>
          <w:p>
            <w:pPr>
              <w:spacing w:after="40" w:before="40" w:line="240"/>
              <w:jc w:val="center"/>
            </w:pPr>
            <w:r>
              <w:rPr>
                <w:rFonts w:ascii="Arial" w:cs="Arial" w:eastAsia="Arial" w:hAnsi="Arial"/>
                <w:sz w:val="22"/>
                <w:szCs w:val="22"/>
                <w:lang w:val="id-ID"/>
              </w:rPr>
              <w:t xml:space="preserve">(Teknologi &amp; Data)</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(14) Belum ada peta digital utilitas terpadu (atas dan bawah tanah)</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Perencanaan ruas dan relokasi tidak didukung data spasial jaringan yang lengkap.</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(15) Belum ada dasbor progres dan peringatan dini</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Progres fisik dan masa berlaku regulasi tidak terpantau sehingga pekerjaan terhenti tanpa disadari.</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(16) Kanal aduan tidak terhubung ke tindak lanjut pemilik kabel</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Laporan warga tidak otomatis diteruskan kepada pemilik jaringan; penanganan lambat dan menunggu korban.</w:t>
            </w:r>
          </w:p>
        </w:tc>
      </w:tr>
      <w:tr>
        <w:trPr>
          <w:cantSplit/>
        </w:trPr>
        <w:tc>
          <w:tcPr>
            <w:tcW w:type="dxa" w:w="1750"/>
            <w:vMerge w:val="restart"/>
            <w:tcMar>
              <w:top w:type="dxa" w:w="40"/>
              <w:left w:type="dxa" w:w="90"/>
              <w:bottom w:type="dxa" w:w="40"/>
              <w:right w:type="dxa" w:w="90"/>
            </w:tcMar>
            <w:vAlign w:val="center"/>
          </w:tcPr>
          <w:p>
            <w:pPr>
              <w:spacing w:after="40" w:before="40" w:line="240"/>
              <w:jc w:val="center"/>
            </w:pPr>
            <w:r>
              <w:rPr>
                <w:rFonts w:ascii="Arial" w:cs="Arial" w:eastAsia="Arial" w:hAnsi="Arial"/>
                <w:b/>
                <w:bCs/>
                <w:i/>
                <w:iCs/>
                <w:sz w:val="22"/>
                <w:szCs w:val="22"/>
                <w:lang w:val="id-ID"/>
              </w:rPr>
              <w:t xml:space="preserve">Market/ Environment</w:t>
            </w:r>
          </w:p>
          <w:p>
            <w:pPr>
              <w:spacing w:after="40" w:before="40" w:line="240"/>
              <w:jc w:val="center"/>
            </w:pPr>
            <w:r>
              <w:rPr>
                <w:rFonts w:ascii="Arial" w:cs="Arial" w:eastAsia="Arial" w:hAnsi="Arial"/>
                <w:sz w:val="22"/>
                <w:szCs w:val="22"/>
                <w:lang w:val="id-ID"/>
              </w:rPr>
              <w:t xml:space="preserve">(Stakeholder &amp; Lingkungan)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(17) Operator enggan migrasi (tarif dan kepastian hukum)</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Tarif dinilai tinggi, sementara kepastian hukum dan standar teknis belum ada.</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(18) Koordinasi pusat–daerah dan antarpemilik jaringan lemah</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Kominfo dan Pemprov belum sinkron dalam standar teknis dan penanganan keluhan tarif.</w:t>
            </w:r>
          </w:p>
        </w:tc>
      </w:tr>
      <w:tr>
        <w:trPr>
          <w:cantSplit/>
        </w:trPr>
        <w:tc>
          <w:tcPr>
            <w:vMerge w:val="continue"/>
          </w:tcP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(19) Kota padat, kabel semrawut, galian berulang</w:t>
            </w:r>
          </w:p>
        </w:tc>
        <w:tc>
          <w:tcPr>
            <w:tcW w:type="dxa" w:w="44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Pekerjaan di ruas padat mengganggu lalu lintas; tanpa jadwal galian terpadu, biaya dan resistensi warga meningkat.</w:t>
            </w:r>
          </w:p>
        </w:tc>
      </w:tr>
    </w:tbl>
    <w:p>
      <w:pPr>
        <w:spacing w:after="120" w:before="200" w:line="360"/>
        <w:jc w:val="both"/>
      </w:pPr>
      <w:r>
        <w:rPr>
          <w:rFonts w:ascii="Arial" w:cs="Arial" w:eastAsia="Arial" w:hAnsi="Arial"/>
          <w:b/>
          <w:bCs/>
          <w:sz w:val="24"/>
          <w:szCs w:val="24"/>
          <w:lang w:val="id-ID"/>
        </w:rPr>
        <w:t xml:space="preserve">Jadi, mengapa realisasi SJUT jauh dari target?</w:t>
      </w:r>
      <w:r>
        <w:rPr>
          <w:rFonts w:ascii="Arial" w:cs="Arial" w:eastAsia="Arial" w:hAnsi="Arial"/>
          <w:sz w:val="24"/>
          <w:szCs w:val="24"/>
          <w:lang w:val="id-ID"/>
        </w:rPr>
        <w:t xml:space="preserve"> Karena proyek berjalan tanpa “sistem kemudi”: tidak ada rencana induk dan target yang mengikat; tidak ada pemantauan sehingga deviasi progres dan berakhirnya regulasi tidak terdeteksi; tidak ada kepastian tarif yang membuat operator mau bermigrasi; serta tidak ada pengelolaan kabel bekas dan standar teknis yang jelas. Semua penyebab itu diperparah oleh pola kerja yang reaktif dan koordinasi lintas pihak yang lemah.</w:t>
      </w:r>
    </w:p>
    <w:p>
      <w:pPr>
        <w:pStyle w:val="Heading2"/>
      </w:pPr>
      <w:r>
        <w:rPr>
          <w:rFonts w:ascii="Arial" w:cs="Arial" w:eastAsia="Arial" w:hAnsi="Arial"/>
          <w:sz w:val="24"/>
          <w:szCs w:val="24"/>
          <w:lang w:val="id-ID"/>
        </w:rPr>
        <w:t xml:space="preserve">A.3 Penentuan Akar Masalah Dominan dengan Analisis USG</w:t>
      </w:r>
    </w:p>
    <w:p>
      <w:pPr>
        <w:keepNext/>
        <w:spacing w:after="60" w:before="0" w:line="360"/>
        <w:jc w:val="both"/>
      </w:pPr>
      <w:r>
        <w:rPr>
          <w:rFonts w:ascii="Arial" w:cs="Arial" w:eastAsia="Arial" w:hAnsi="Arial"/>
          <w:sz w:val="24"/>
          <w:szCs w:val="24"/>
          <w:lang w:val="id-ID"/>
        </w:rPr>
        <w:t xml:space="preserve">Sebelum dinilai, sembilan belas penyebab pada diagram </w:t>
      </w:r>
      <w:r>
        <w:rPr>
          <w:rFonts w:ascii="Arial" w:cs="Arial" w:eastAsia="Arial" w:hAnsi="Arial"/>
          <w:i/>
          <w:iCs/>
          <w:sz w:val="24"/>
          <w:szCs w:val="24"/>
          <w:lang w:val="id-ID"/>
        </w:rPr>
        <w:t xml:space="preserve">fishbone</w:t>
      </w:r>
      <w:r>
        <w:rPr>
          <w:rFonts w:ascii="Arial" w:cs="Arial" w:eastAsia="Arial" w:hAnsi="Arial"/>
          <w:sz w:val="24"/>
          <w:szCs w:val="24"/>
          <w:lang w:val="id-ID"/>
        </w:rPr>
        <w:t xml:space="preserve"> dikelompokkan menjadi lima masalah pokok dengan tiga aturan berikut.</w:t>
      </w:r>
    </w:p>
    <w:p>
      <w:pPr>
        <w:pStyle w:val="ListParagraph"/>
        <w:numPr>
          <w:ilvl w:val="0"/>
          <w:numId w:val="2"/>
        </w:numPr>
        <w:spacing w:after="60" w:before="0" w:line="360"/>
        <w:jc w:val="both"/>
      </w:pPr>
      <w:r>
        <w:rPr>
          <w:rFonts w:ascii="Arial" w:cs="Arial" w:eastAsia="Arial" w:hAnsi="Arial"/>
          <w:b/>
          <w:bCs/>
          <w:sz w:val="24"/>
          <w:szCs w:val="24"/>
          <w:lang w:val="id-ID"/>
        </w:rPr>
        <w:t xml:space="preserve">Kesamaan akar (prinsip afinitas).</w:t>
      </w:r>
      <w:r>
        <w:rPr>
          <w:rFonts w:ascii="Arial" w:cs="Arial" w:eastAsia="Arial" w:hAnsi="Arial"/>
          <w:sz w:val="24"/>
          <w:szCs w:val="24"/>
          <w:lang w:val="id-ID"/>
        </w:rPr>
        <w:t xml:space="preserve"> Penyebab yang bermuara pada kelemahan yang sama—sehingga membutuhkan jenis intervensi yang sama—digabung menjadi satu masalah pokok, walaupun berasal dari kategori 6M yang berbeda. Kategori 6M menunjukkan </w:t>
      </w:r>
      <w:r>
        <w:rPr>
          <w:rFonts w:ascii="Arial" w:cs="Arial" w:eastAsia="Arial" w:hAnsi="Arial"/>
          <w:i/>
          <w:iCs/>
          <w:sz w:val="24"/>
          <w:szCs w:val="24"/>
          <w:lang w:val="id-ID"/>
        </w:rPr>
        <w:t xml:space="preserve">di mana</w:t>
      </w:r>
      <w:r>
        <w:rPr>
          <w:rFonts w:ascii="Arial" w:cs="Arial" w:eastAsia="Arial" w:hAnsi="Arial"/>
          <w:sz w:val="24"/>
          <w:szCs w:val="24"/>
          <w:lang w:val="id-ID"/>
        </w:rPr>
        <w:t xml:space="preserve"> penyebab muncul, sedangkan masalah pokok menunjukkan </w:t>
      </w:r>
      <w:r>
        <w:rPr>
          <w:rFonts w:ascii="Arial" w:cs="Arial" w:eastAsia="Arial" w:hAnsi="Arial"/>
          <w:i/>
          <w:iCs/>
          <w:sz w:val="24"/>
          <w:szCs w:val="24"/>
          <w:lang w:val="id-ID"/>
        </w:rPr>
        <w:t xml:space="preserve">apa</w:t>
      </w:r>
      <w:r>
        <w:rPr>
          <w:rFonts w:ascii="Arial" w:cs="Arial" w:eastAsia="Arial" w:hAnsi="Arial"/>
          <w:sz w:val="24"/>
          <w:szCs w:val="24"/>
          <w:lang w:val="id-ID"/>
        </w:rPr>
        <w:t xml:space="preserve"> kelemahan mendasarnya.</w:t>
      </w:r>
    </w:p>
    <w:p>
      <w:pPr>
        <w:pStyle w:val="ListParagraph"/>
        <w:numPr>
          <w:ilvl w:val="0"/>
          <w:numId w:val="2"/>
        </w:numPr>
        <w:spacing w:after="60" w:before="0" w:line="360"/>
        <w:jc w:val="both"/>
      </w:pPr>
      <w:r>
        <w:rPr>
          <w:rFonts w:ascii="Arial" w:cs="Arial" w:eastAsia="Arial" w:hAnsi="Arial"/>
          <w:b/>
          <w:bCs/>
          <w:sz w:val="24"/>
          <w:szCs w:val="24"/>
          <w:lang w:val="id-ID"/>
        </w:rPr>
        <w:t xml:space="preserve">Satu penyebab, satu kelompok.</w:t>
      </w:r>
      <w:r>
        <w:rPr>
          <w:rFonts w:ascii="Arial" w:cs="Arial" w:eastAsia="Arial" w:hAnsi="Arial"/>
          <w:sz w:val="24"/>
          <w:szCs w:val="24"/>
          <w:lang w:val="id-ID"/>
        </w:rPr>
        <w:t xml:space="preserve"> Penyebab yang bersinggungan dengan lebih dari satu kelompok ditempatkan pada kelompok yang paling menentukan solusinya, sehingga tidak ada penyebab yang dihitung ganda atau terlewat.</w:t>
      </w:r>
    </w:p>
    <w:p>
      <w:pPr>
        <w:pStyle w:val="ListParagraph"/>
        <w:numPr>
          <w:ilvl w:val="0"/>
          <w:numId w:val="2"/>
        </w:numPr>
        <w:spacing w:after="60" w:before="0" w:line="360"/>
        <w:jc w:val="both"/>
      </w:pPr>
      <w:r>
        <w:rPr>
          <w:rFonts w:ascii="Arial" w:cs="Arial" w:eastAsia="Arial" w:hAnsi="Arial"/>
          <w:b/>
          <w:bCs/>
          <w:sz w:val="24"/>
          <w:szCs w:val="24"/>
          <w:lang w:val="id-ID"/>
        </w:rPr>
        <w:t xml:space="preserve">Uji silang dengan temuan Ombudsman.</w:t>
      </w:r>
      <w:r>
        <w:rPr>
          <w:rFonts w:ascii="Arial" w:cs="Arial" w:eastAsia="Arial" w:hAnsi="Arial"/>
          <w:sz w:val="24"/>
          <w:szCs w:val="24"/>
          <w:lang w:val="id-ID"/>
        </w:rPr>
        <w:t xml:space="preserve"> Kejanggalan kedua sampai kelima harus terwakili seluruhnya. Kejanggalan kelima dipecah menjadi dua masalah pokok (tarif serta panduan teknis dan koordinasi) karena solusinya berbeda: yang satu bersifat ekonomi, yang lain bersifat standardisasi.</w:t>
      </w:r>
    </w:p>
    <w:p>
      <w:pPr>
        <w:keepNext/>
        <w:spacing w:after="80" w:before="120" w:line="276"/>
        <w:jc w:val="center"/>
      </w:pPr>
      <w:r>
        <w:rPr>
          <w:rFonts w:ascii="Arial" w:cs="Arial" w:eastAsia="Arial" w:hAnsi="Arial"/>
          <w:b/>
          <w:bCs/>
          <w:sz w:val="22"/>
          <w:szCs w:val="22"/>
          <w:lang w:val="id-ID"/>
        </w:rPr>
        <w:t xml:space="preserve">Tabel 3. Pengelompokan Penyebab menjadi Masalah Pokok</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2600"/>
        <w:gridCol w:w="3877"/>
        <w:gridCol w:w="1750"/>
      </w:tblGrid>
      <w:tr>
        <w:trPr>
          <w:cantSplit/>
          <w:tblHeader/>
        </w:trPr>
        <w:tc>
          <w:tcPr>
            <w:tcW w:type="dxa" w:w="56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No</w:t>
            </w:r>
          </w:p>
        </w:tc>
        <w:tc>
          <w:tcPr>
            <w:tcW w:type="dxa" w:w="26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Masalah Pokok</w:t>
            </w:r>
          </w:p>
        </w:tc>
        <w:tc>
          <w:tcPr>
            <w:tcW w:type="dxa" w:w="387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Penyebab yang Dikelompokkan (nomor pada Gambar 1/Tabel 2)</w:t>
            </w:r>
          </w:p>
        </w:tc>
        <w:tc>
          <w:tcPr>
            <w:tcW w:type="dxa" w:w="175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Asal Kategori 6M</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Belum ada sistem perencanaan dan pengendalian SJUT yang terpadu dan berbasis data</w:t>
            </w:r>
          </w:p>
        </w:tc>
        <w:tc>
          <w:tcPr>
            <w:tcW w:type="dxa" w:w="387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 tidak ada </w:t>
            </w:r>
            <w:r>
              <w:rPr>
                <w:rFonts w:ascii="Arial" w:cs="Arial" w:eastAsia="Arial" w:hAnsi="Arial"/>
                <w:i/>
                <w:iCs/>
                <w:sz w:val="22"/>
                <w:szCs w:val="22"/>
                <w:lang w:val="id-ID"/>
              </w:rPr>
              <w:t xml:space="preserve">leading sector</w:t>
            </w:r>
            <w:r>
              <w:rPr>
                <w:rFonts w:ascii="Arial" w:cs="Arial" w:eastAsia="Arial" w:hAnsi="Arial"/>
                <w:sz w:val="22"/>
                <w:szCs w:val="22"/>
                <w:lang w:val="id-ID"/>
              </w:rPr>
              <w:t xml:space="preserve">/PMO; (2) kapasitas dan komitmen BUMD rendah; (3) pengawasan atas BUMD lemah; (5) belum ada rencana induk; (6) tidak ada monev dan KPI; (14) belum ada peta digital utilitas; (15) belum ada dasbor dan peringatan dini</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i/>
                <w:iCs/>
                <w:sz w:val="22"/>
                <w:szCs w:val="22"/>
                <w:lang w:val="id-ID"/>
              </w:rPr>
              <w:t xml:space="preserve">Man</w:t>
            </w:r>
            <w:r>
              <w:rPr>
                <w:rFonts w:ascii="Arial" w:cs="Arial" w:eastAsia="Arial" w:hAnsi="Arial"/>
                <w:sz w:val="22"/>
                <w:szCs w:val="22"/>
                <w:lang w:val="id-ID"/>
              </w:rPr>
              <w:t xml:space="preserve">, </w:t>
            </w:r>
            <w:r>
              <w:rPr>
                <w:rFonts w:ascii="Arial" w:cs="Arial" w:eastAsia="Arial" w:hAnsi="Arial"/>
                <w:i/>
                <w:iCs/>
                <w:sz w:val="22"/>
                <w:szCs w:val="22"/>
                <w:lang w:val="id-ID"/>
              </w:rPr>
              <w:t xml:space="preserve">Method</w:t>
            </w:r>
            <w:r>
              <w:rPr>
                <w:rFonts w:ascii="Arial" w:cs="Arial" w:eastAsia="Arial" w:hAnsi="Arial"/>
                <w:sz w:val="22"/>
                <w:szCs w:val="22"/>
                <w:lang w:val="id-ID"/>
              </w:rPr>
              <w:t xml:space="preserve">, </w:t>
            </w:r>
            <w:r>
              <w:rPr>
                <w:rFonts w:ascii="Arial" w:cs="Arial" w:eastAsia="Arial" w:hAnsi="Arial"/>
                <w:i/>
                <w:iCs/>
                <w:sz w:val="22"/>
                <w:szCs w:val="22"/>
                <w:lang w:val="id-ID"/>
              </w:rPr>
              <w:t xml:space="preserve">Machine</w:t>
            </w:r>
            <w:r>
              <w:rPr>
                <w:rFonts w:ascii="Arial" w:cs="Arial" w:eastAsia="Arial" w:hAnsi="Arial"/>
                <w:sz w:val="22"/>
                <w:szCs w:val="22"/>
                <w:lang w:val="id-ID"/>
              </w:rPr>
              <w:t xml:space="preserve"> (7 penyebab)</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2</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Kekosongan payung hukum penugasan tanpa evaluasi progres</w:t>
            </w:r>
          </w:p>
        </w:tc>
        <w:tc>
          <w:tcPr>
            <w:tcW w:type="dxa" w:w="387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(4) regulasi penugasan habis tanpa pengganti dan evaluasi</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i/>
                <w:iCs/>
                <w:sz w:val="22"/>
                <w:szCs w:val="22"/>
                <w:lang w:val="id-ID"/>
              </w:rPr>
              <w:t xml:space="preserve">Method</w:t>
            </w:r>
            <w:r>
              <w:rPr>
                <w:rFonts w:ascii="Arial" w:cs="Arial" w:eastAsia="Arial" w:hAnsi="Arial"/>
                <w:sz w:val="22"/>
                <w:szCs w:val="22"/>
                <w:lang w:val="id-ID"/>
              </w:rPr>
              <w:t xml:space="preserve"> (1 penyebab)</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bekas dan limbah tidak terkelola; penanganan reaktif</w:t>
            </w:r>
          </w:p>
        </w:tc>
        <w:tc>
          <w:tcPr>
            <w:tcW w:type="dxa" w:w="387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(11) kabel bekas dan limbah tidak dikelola; (12) belum ada regulasi limbah kabel; (13) inventaris jaringan eksisting tidak ada; (16) kanal aduan tidak terhubung ke pemilik kabel</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i/>
                <w:iCs/>
                <w:sz w:val="22"/>
                <w:szCs w:val="22"/>
                <w:lang w:val="id-ID"/>
              </w:rPr>
              <w:t xml:space="preserve">Material</w:t>
            </w:r>
            <w:r>
              <w:rPr>
                <w:rFonts w:ascii="Arial" w:cs="Arial" w:eastAsia="Arial" w:hAnsi="Arial"/>
                <w:sz w:val="22"/>
                <w:szCs w:val="22"/>
                <w:lang w:val="id-ID"/>
              </w:rPr>
              <w:t xml:space="preserve">, </w:t>
            </w:r>
            <w:r>
              <w:rPr>
                <w:rFonts w:ascii="Arial" w:cs="Arial" w:eastAsia="Arial" w:hAnsi="Arial"/>
                <w:i/>
                <w:iCs/>
                <w:sz w:val="22"/>
                <w:szCs w:val="22"/>
                <w:lang w:val="id-ID"/>
              </w:rPr>
              <w:t xml:space="preserve">Machine</w:t>
            </w:r>
            <w:r>
              <w:rPr>
                <w:rFonts w:ascii="Arial" w:cs="Arial" w:eastAsia="Arial" w:hAnsi="Arial"/>
                <w:sz w:val="22"/>
                <w:szCs w:val="22"/>
                <w:lang w:val="id-ID"/>
              </w:rPr>
              <w:t xml:space="preserve"> (4 penyebab)</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Tarif sewa tidak transparan dan belum ada insentif migrasi bagi operator</w:t>
            </w:r>
          </w:p>
        </w:tc>
        <w:tc>
          <w:tcPr>
            <w:tcW w:type="dxa" w:w="387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(8) tarif belum transparan dan belum disepakati; (9) model bisnis BUMD tidak pasti; (10) belum ada insentif dan disinsentif; (17) operator enggan migrasi</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i/>
                <w:iCs/>
                <w:sz w:val="22"/>
                <w:szCs w:val="22"/>
                <w:lang w:val="id-ID"/>
              </w:rPr>
              <w:t xml:space="preserve">Money</w:t>
            </w:r>
            <w:r>
              <w:rPr>
                <w:rFonts w:ascii="Arial" w:cs="Arial" w:eastAsia="Arial" w:hAnsi="Arial"/>
                <w:sz w:val="22"/>
                <w:szCs w:val="22"/>
                <w:lang w:val="id-ID"/>
              </w:rPr>
              <w:t xml:space="preserve">, </w:t>
            </w:r>
            <w:r>
              <w:rPr>
                <w:rFonts w:ascii="Arial" w:cs="Arial" w:eastAsia="Arial" w:hAnsi="Arial"/>
                <w:i/>
                <w:iCs/>
                <w:sz w:val="22"/>
                <w:szCs w:val="22"/>
                <w:lang w:val="id-ID"/>
              </w:rPr>
              <w:t xml:space="preserve">Market</w:t>
            </w:r>
            <w:r>
              <w:rPr>
                <w:rFonts w:ascii="Arial" w:cs="Arial" w:eastAsia="Arial" w:hAnsi="Arial"/>
                <w:sz w:val="22"/>
                <w:szCs w:val="22"/>
                <w:lang w:val="id-ID"/>
              </w:rPr>
              <w:t xml:space="preserve"> (4 penyebab)</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Koordinasi pusat–daerah dan antarpemilik jaringan lemah; panduan teknis SJUT belum tersedia</w:t>
            </w:r>
          </w:p>
        </w:tc>
        <w:tc>
          <w:tcPr>
            <w:tcW w:type="dxa" w:w="387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(7) panduan teknis SJUT nasional belum ada; (18) koordinasi pusat–daerah dan antarpemilik jaringan lemah; (19) kota padat dan galian berulang</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i/>
                <w:iCs/>
                <w:sz w:val="22"/>
                <w:szCs w:val="22"/>
                <w:lang w:val="id-ID"/>
              </w:rPr>
              <w:t xml:space="preserve">Method</w:t>
            </w:r>
            <w:r>
              <w:rPr>
                <w:rFonts w:ascii="Arial" w:cs="Arial" w:eastAsia="Arial" w:hAnsi="Arial"/>
                <w:sz w:val="22"/>
                <w:szCs w:val="22"/>
                <w:lang w:val="id-ID"/>
              </w:rPr>
              <w:t xml:space="preserve">, </w:t>
            </w:r>
            <w:r>
              <w:rPr>
                <w:rFonts w:ascii="Arial" w:cs="Arial" w:eastAsia="Arial" w:hAnsi="Arial"/>
                <w:i/>
                <w:iCs/>
                <w:sz w:val="22"/>
                <w:szCs w:val="22"/>
                <w:lang w:val="id-ID"/>
              </w:rPr>
              <w:t xml:space="preserve">Market</w:t>
            </w:r>
            <w:r>
              <w:rPr>
                <w:rFonts w:ascii="Arial" w:cs="Arial" w:eastAsia="Arial" w:hAnsi="Arial"/>
                <w:sz w:val="22"/>
                <w:szCs w:val="22"/>
                <w:lang w:val="id-ID"/>
              </w:rPr>
              <w:t xml:space="preserve"> (3 penyebab)</w:t>
            </w:r>
          </w:p>
        </w:tc>
      </w:tr>
      <w:tr>
        <w:trPr>
          <w:cantSplit/>
        </w:trPr>
        <w:tc>
          <w:tcPr>
            <w:tcW w:type="dxa" w:w="7037"/>
            <w:gridSpan w:val="3"/>
            <w:tcMar>
              <w:top w:type="dxa" w:w="40"/>
              <w:left w:type="dxa" w:w="90"/>
              <w:bottom w:type="dxa" w:w="40"/>
              <w:right w:type="dxa" w:w="90"/>
            </w:tcMar>
            <w:vAlign w:val="center"/>
          </w:tcPr>
          <w:p>
            <w:pPr>
              <w:spacing w:after="40" w:before="40" w:line="240"/>
              <w:jc w:val="right"/>
            </w:pPr>
            <w:r>
              <w:rPr>
                <w:rFonts w:ascii="Arial" w:cs="Arial" w:eastAsia="Arial" w:hAnsi="Arial"/>
                <w:b/>
                <w:bCs/>
                <w:sz w:val="22"/>
                <w:szCs w:val="22"/>
                <w:lang w:val="id-ID"/>
              </w:rPr>
              <w:t xml:space="preserve">Jumlah</w:t>
            </w:r>
          </w:p>
        </w:tc>
        <w:tc>
          <w:tcPr>
            <w:tcW w:type="dxa" w:w="17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19 penyebab</w:t>
            </w:r>
          </w:p>
        </w:tc>
      </w:tr>
    </w:tbl>
    <w:p>
      <w:pPr>
        <w:spacing w:after="120" w:before="160" w:line="360"/>
        <w:jc w:val="both"/>
      </w:pPr>
      <w:r>
        <w:rPr>
          <w:rFonts w:ascii="Arial" w:cs="Arial" w:eastAsia="Arial" w:hAnsi="Arial"/>
          <w:sz w:val="24"/>
          <w:szCs w:val="24"/>
          <w:lang w:val="id-ID"/>
        </w:rPr>
        <w:t xml:space="preserve">Pengelompokan ini memberi dua catatan. Pertama, kelompok nomor 1 paling luas—tujuh penyebab dari tiga kategori 6M—yang menjadi indikasi awal bahwa kelemahan sistem perencanaan dan pengendalian adalah akar yang paling mendasar. Kedua, kelompok nomor 2 hanya berisi satu penyebab, tetapi tetap berdiri sendiri karena dampaknya langsung menghentikan pekerjaan dan merupakan temuan tersendiri Ombudsman.</w:t>
      </w:r>
    </w:p>
    <w:p>
      <w:pPr>
        <w:spacing w:after="120" w:before="0" w:line="360"/>
        <w:jc w:val="both"/>
      </w:pPr>
      <w:r>
        <w:rPr>
          <w:rFonts w:ascii="Arial" w:cs="Arial" w:eastAsia="Arial" w:hAnsi="Arial"/>
          <w:sz w:val="24"/>
          <w:szCs w:val="24"/>
          <w:lang w:val="id-ID"/>
        </w:rPr>
        <w:t xml:space="preserve">Kelima masalah pokok kemudian dinilai dengan kriteria </w:t>
      </w:r>
      <w:r>
        <w:rPr>
          <w:rFonts w:ascii="Arial" w:cs="Arial" w:eastAsia="Arial" w:hAnsi="Arial"/>
          <w:i/>
          <w:iCs/>
          <w:sz w:val="24"/>
          <w:szCs w:val="24"/>
          <w:lang w:val="id-ID"/>
        </w:rPr>
        <w:t xml:space="preserve">Urgency</w:t>
      </w:r>
      <w:r>
        <w:rPr>
          <w:rFonts w:ascii="Arial" w:cs="Arial" w:eastAsia="Arial" w:hAnsi="Arial"/>
          <w:sz w:val="24"/>
          <w:szCs w:val="24"/>
          <w:lang w:val="id-ID"/>
        </w:rPr>
        <w:t xml:space="preserve"> (tingkat kemendesakan), </w:t>
      </w:r>
      <w:r>
        <w:rPr>
          <w:rFonts w:ascii="Arial" w:cs="Arial" w:eastAsia="Arial" w:hAnsi="Arial"/>
          <w:i/>
          <w:iCs/>
          <w:sz w:val="24"/>
          <w:szCs w:val="24"/>
          <w:lang w:val="id-ID"/>
        </w:rPr>
        <w:t xml:space="preserve">Seriousness</w:t>
      </w:r>
      <w:r>
        <w:rPr>
          <w:rFonts w:ascii="Arial" w:cs="Arial" w:eastAsia="Arial" w:hAnsi="Arial"/>
          <w:sz w:val="24"/>
          <w:szCs w:val="24"/>
          <w:lang w:val="id-ID"/>
        </w:rPr>
        <w:t xml:space="preserve"> (tingkat keseriusan dampak terhadap masalah utama), dan </w:t>
      </w:r>
      <w:r>
        <w:rPr>
          <w:rFonts w:ascii="Arial" w:cs="Arial" w:eastAsia="Arial" w:hAnsi="Arial"/>
          <w:i/>
          <w:iCs/>
          <w:sz w:val="24"/>
          <w:szCs w:val="24"/>
          <w:lang w:val="id-ID"/>
        </w:rPr>
        <w:t xml:space="preserve">Growth</w:t>
      </w:r>
      <w:r>
        <w:rPr>
          <w:rFonts w:ascii="Arial" w:cs="Arial" w:eastAsia="Arial" w:hAnsi="Arial"/>
          <w:sz w:val="24"/>
          <w:szCs w:val="24"/>
          <w:lang w:val="id-ID"/>
        </w:rPr>
        <w:t xml:space="preserve"> (kecenderungan memburuk bila dibiarkan) pada Tabel 4.</w:t>
      </w:r>
    </w:p>
    <w:p>
      <w:pPr>
        <w:keepNext/>
        <w:spacing w:after="80" w:before="120" w:line="276"/>
        <w:jc w:val="center"/>
      </w:pPr>
      <w:r>
        <w:rPr>
          <w:rFonts w:ascii="Arial" w:cs="Arial" w:eastAsia="Arial" w:hAnsi="Arial"/>
          <w:b/>
          <w:bCs/>
          <w:sz w:val="22"/>
          <w:szCs w:val="22"/>
          <w:lang w:val="id-ID"/>
        </w:rPr>
        <w:t xml:space="preserve">Tabel 4. Analisis USG terhadap Masalah Pokok</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4837"/>
        <w:gridCol w:w="480"/>
        <w:gridCol w:w="480"/>
        <w:gridCol w:w="480"/>
        <w:gridCol w:w="800"/>
        <w:gridCol w:w="1150"/>
      </w:tblGrid>
      <w:tr>
        <w:trPr>
          <w:cantSplit/>
          <w:tblHeader/>
        </w:trPr>
        <w:tc>
          <w:tcPr>
            <w:tcW w:type="dxa" w:w="56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No</w:t>
            </w:r>
          </w:p>
        </w:tc>
        <w:tc>
          <w:tcPr>
            <w:tcW w:type="dxa" w:w="483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Masalah Pokok</w:t>
            </w:r>
          </w:p>
        </w:tc>
        <w:tc>
          <w:tcPr>
            <w:tcW w:type="dxa" w:w="48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U</w:t>
            </w:r>
          </w:p>
        </w:tc>
        <w:tc>
          <w:tcPr>
            <w:tcW w:type="dxa" w:w="48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S</w:t>
            </w:r>
          </w:p>
        </w:tc>
        <w:tc>
          <w:tcPr>
            <w:tcW w:type="dxa" w:w="48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G</w:t>
            </w:r>
          </w:p>
        </w:tc>
        <w:tc>
          <w:tcPr>
            <w:tcW w:type="dxa" w:w="8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Total</w:t>
            </w:r>
          </w:p>
        </w:tc>
        <w:tc>
          <w:tcPr>
            <w:tcW w:type="dxa" w:w="115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Ranking</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w:t>
            </w:r>
          </w:p>
        </w:tc>
        <w:tc>
          <w:tcPr>
            <w:tcW w:type="dxa" w:w="48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Belum ada sistem perencanaan dan pengendalian SJUT yang terpadu dan berbasis data (rencana induk, peta jaringan, target, dan pemantauan progres)</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15</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2</w:t>
            </w:r>
          </w:p>
        </w:tc>
        <w:tc>
          <w:tcPr>
            <w:tcW w:type="dxa" w:w="48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Kekosongan payung hukum penugasan tanpa evaluasi progres</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14</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48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Kabel bekas dan limbah tidak terkelola; penanganan reaktif</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13</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III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48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Tarif sewa tidak transparan dan belum ada insentif migrasi bagi operator</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12</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IV</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48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Koordinasi pusat–daerah dan antarpemilik jaringan lemah; panduan teknis SJUT belum tersedia</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4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10</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V</w:t>
            </w:r>
          </w:p>
        </w:tc>
      </w:tr>
    </w:tbl>
    <w:p>
      <w:pPr>
        <w:spacing w:after="160" w:before="60" w:line="240"/>
      </w:pPr>
      <w:r>
        <w:rPr>
          <w:rFonts w:ascii="Arial" w:cs="Arial" w:eastAsia="Arial" w:hAnsi="Arial"/>
          <w:i/>
          <w:iCs/>
          <w:sz w:val="20"/>
          <w:szCs w:val="20"/>
          <w:lang w:val="id-ID"/>
        </w:rPr>
        <w:t xml:space="preserve">Keterangan: 1 = sangat rendah; 2 = rendah; 3 = sedang; 4 = tinggi; 5 = sangat tinggi.</w:t>
      </w:r>
    </w:p>
    <w:p>
      <w:pPr>
        <w:spacing w:after="120" w:before="0" w:line="360"/>
        <w:jc w:val="both"/>
      </w:pPr>
      <w:r>
        <w:rPr>
          <w:rFonts w:ascii="Arial" w:cs="Arial" w:eastAsia="Arial" w:hAnsi="Arial"/>
          <w:sz w:val="24"/>
          <w:szCs w:val="24"/>
          <w:lang w:val="id-ID"/>
        </w:rPr>
        <w:t xml:space="preserve">Masalah pokok nomor 1 ditetapkan sebagai </w:t>
      </w:r>
      <w:r>
        <w:rPr>
          <w:rFonts w:ascii="Arial" w:cs="Arial" w:eastAsia="Arial" w:hAnsi="Arial"/>
          <w:b/>
          <w:bCs/>
          <w:sz w:val="24"/>
          <w:szCs w:val="24"/>
          <w:lang w:val="id-ID"/>
        </w:rPr>
        <w:t xml:space="preserve">akar masalah dominan</w:t>
      </w:r>
      <w:r>
        <w:rPr>
          <w:rFonts w:ascii="Arial" w:cs="Arial" w:eastAsia="Arial" w:hAnsi="Arial"/>
          <w:sz w:val="24"/>
          <w:szCs w:val="24"/>
          <w:lang w:val="id-ID"/>
        </w:rPr>
        <w:t xml:space="preserve"> (skor 15). Realisasi 22,6% dan 1,15% justru terjadi ketika regulasi penugasan masih berlaku; artinya, regulasi adalah syarat perlu, tetapi bukan syarat cukup. Tanpa rencana induk, peta jaringan, target terukur, dan pemantauan berkala, deviasi tidak terdeteksi sejak dini—bahkan berakhirnya masa berlaku regulasi pun luput dari evaluasi. Akar masalah ini juga memperparah masalah pokok lainnya: kabel bekas tidak terdata sehingga penanganan menunggu korban, dan tarif tidak disusun berdasarkan data biaya yang terbuka sehingga memicu keluhan operator. Karena itu, pembaruan regulasi—seperti yang kemudian dilakukan Pemprov pada 2025</w:t>
      </w:r>
      <w:r>
        <w:rPr>
          <w:rStyle w:val="FootnoteReference"/>
        </w:rPr>
        <w:footnoteReference w:id="3"/>
      </w:r>
      <w:r>
        <w:rPr>
          <w:rFonts w:ascii="Arial" w:cs="Arial" w:eastAsia="Arial" w:hAnsi="Arial"/>
          <w:sz w:val="24"/>
          <w:szCs w:val="24"/>
          <w:lang w:val="id-ID"/>
        </w:rPr>
        <w:t xml:space="preserve">—tetap perlu dilengkapi dengan sistem pengendalian agar kegagalan serupa tidak berulang.</w:t>
      </w:r>
    </w:p>
    <w:p>
      <w:pPr>
        <w:pStyle w:val="Heading2"/>
      </w:pPr>
      <w:r>
        <w:rPr>
          <w:rFonts w:ascii="Arial" w:cs="Arial" w:eastAsia="Arial" w:hAnsi="Arial"/>
          <w:sz w:val="24"/>
          <w:szCs w:val="24"/>
          <w:lang w:val="id-ID"/>
        </w:rPr>
        <w:t xml:space="preserve">A.4 Akibat Jika Masalah Tidak Segera Diatasi</w:t>
      </w:r>
    </w:p>
    <w:p>
      <w:pPr>
        <w:keepNext/>
        <w:spacing w:after="120" w:before="0" w:line="360"/>
        <w:jc w:val="both"/>
      </w:pPr>
      <w:r>
        <w:rPr>
          <w:rFonts w:ascii="Arial" w:cs="Arial" w:eastAsia="Arial" w:hAnsi="Arial"/>
          <w:sz w:val="24"/>
          <w:szCs w:val="24"/>
          <w:lang w:val="id-ID"/>
        </w:rPr>
        <w:t xml:space="preserve">Jika akar masalah tidak segera diatasi, dampak berikut akan terus terjadi dan cenderung membesar:</w:t>
      </w:r>
    </w:p>
    <w:p>
      <w:pPr>
        <w:pStyle w:val="ListParagraph"/>
        <w:numPr>
          <w:ilvl w:val="0"/>
          <w:numId w:val="3"/>
        </w:numPr>
        <w:spacing w:after="60" w:before="0" w:line="360"/>
        <w:jc w:val="both"/>
      </w:pPr>
      <w:r>
        <w:rPr>
          <w:rFonts w:ascii="Arial" w:cs="Arial" w:eastAsia="Arial" w:hAnsi="Arial"/>
          <w:b/>
          <w:bCs/>
          <w:sz w:val="24"/>
          <w:szCs w:val="24"/>
          <w:lang w:val="id-ID"/>
        </w:rPr>
        <w:t xml:space="preserve">Keselamatan warga terancam</w:t>
      </w:r>
      <w:r>
        <w:rPr>
          <w:rFonts w:ascii="Arial" w:cs="Arial" w:eastAsia="Arial" w:hAnsi="Arial"/>
          <w:sz w:val="24"/>
          <w:szCs w:val="24"/>
          <w:lang w:val="id-ID"/>
        </w:rPr>
        <w:t xml:space="preserve">: kabel menjuntai dan kabel bekas dapat kembali menimbulkan korban jiwa, korsleting, dan kebakaran.</w:t>
      </w:r>
    </w:p>
    <w:p>
      <w:pPr>
        <w:pStyle w:val="ListParagraph"/>
        <w:numPr>
          <w:ilvl w:val="0"/>
          <w:numId w:val="3"/>
        </w:numPr>
        <w:spacing w:after="60" w:before="0" w:line="360"/>
        <w:jc w:val="both"/>
      </w:pPr>
      <w:r>
        <w:rPr>
          <w:rFonts w:ascii="Arial" w:cs="Arial" w:eastAsia="Arial" w:hAnsi="Arial"/>
          <w:b/>
          <w:bCs/>
          <w:sz w:val="24"/>
          <w:szCs w:val="24"/>
          <w:lang w:val="id-ID"/>
        </w:rPr>
        <w:t xml:space="preserve">Kesemrawutan kabel makin parah</w:t>
      </w:r>
      <w:r>
        <w:rPr>
          <w:rFonts w:ascii="Arial" w:cs="Arial" w:eastAsia="Arial" w:hAnsi="Arial"/>
          <w:sz w:val="24"/>
          <w:szCs w:val="24"/>
          <w:lang w:val="id-ID"/>
        </w:rPr>
        <w:t xml:space="preserve"> seiring pesatnya kebutuhan jaringan digital (serat optik, 5G), sehingga estetika dan citra Jakarta sebagai kota global menurun.</w:t>
      </w:r>
    </w:p>
    <w:p>
      <w:pPr>
        <w:pStyle w:val="ListParagraph"/>
        <w:numPr>
          <w:ilvl w:val="0"/>
          <w:numId w:val="3"/>
        </w:numPr>
        <w:spacing w:after="60" w:before="0" w:line="360"/>
        <w:jc w:val="both"/>
      </w:pPr>
      <w:r>
        <w:rPr>
          <w:rFonts w:ascii="Arial" w:cs="Arial" w:eastAsia="Arial" w:hAnsi="Arial"/>
          <w:b/>
          <w:bCs/>
          <w:sz w:val="24"/>
          <w:szCs w:val="24"/>
          <w:lang w:val="id-ID"/>
        </w:rPr>
        <w:t xml:space="preserve">Pemborosan dan potensi kerugian daerah</w:t>
      </w:r>
      <w:r>
        <w:rPr>
          <w:rFonts w:ascii="Arial" w:cs="Arial" w:eastAsia="Arial" w:hAnsi="Arial"/>
          <w:sz w:val="24"/>
          <w:szCs w:val="24"/>
          <w:lang w:val="id-ID"/>
        </w:rPr>
        <w:t xml:space="preserve">: </w:t>
      </w:r>
      <w:r>
        <w:rPr>
          <w:rFonts w:ascii="Arial" w:cs="Arial" w:eastAsia="Arial" w:hAnsi="Arial"/>
          <w:i/>
          <w:iCs/>
          <w:sz w:val="24"/>
          <w:szCs w:val="24"/>
          <w:lang w:val="id-ID"/>
        </w:rPr>
        <w:t xml:space="preserve">ducting</w:t>
      </w:r>
      <w:r>
        <w:rPr>
          <w:rFonts w:ascii="Arial" w:cs="Arial" w:eastAsia="Arial" w:hAnsi="Arial"/>
          <w:sz w:val="24"/>
          <w:szCs w:val="24"/>
          <w:lang w:val="id-ID"/>
        </w:rPr>
        <w:t xml:space="preserve"> yang sudah terbangun tidak termanfaatkan optimal, sementara galian berulang merusak jalan dan trotoar serta menambah kemacetan.</w:t>
      </w:r>
    </w:p>
    <w:p>
      <w:pPr>
        <w:pStyle w:val="ListParagraph"/>
        <w:numPr>
          <w:ilvl w:val="0"/>
          <w:numId w:val="3"/>
        </w:numPr>
        <w:spacing w:after="60" w:before="0" w:line="360"/>
        <w:jc w:val="both"/>
      </w:pPr>
      <w:r>
        <w:rPr>
          <w:rFonts w:ascii="Arial" w:cs="Arial" w:eastAsia="Arial" w:hAnsi="Arial"/>
          <w:b/>
          <w:bCs/>
          <w:sz w:val="24"/>
          <w:szCs w:val="24"/>
          <w:lang w:val="id-ID"/>
        </w:rPr>
        <w:t xml:space="preserve">Iklim investasi digital terhambat</w:t>
      </w:r>
      <w:r>
        <w:rPr>
          <w:rFonts w:ascii="Arial" w:cs="Arial" w:eastAsia="Arial" w:hAnsi="Arial"/>
          <w:sz w:val="24"/>
          <w:szCs w:val="24"/>
          <w:lang w:val="id-ID"/>
        </w:rPr>
        <w:t xml:space="preserve"> akibat ketidakpastian hukum, teknis, dan tarif.</w:t>
      </w:r>
    </w:p>
    <w:p>
      <w:pPr>
        <w:pStyle w:val="ListParagraph"/>
        <w:numPr>
          <w:ilvl w:val="0"/>
          <w:numId w:val="3"/>
        </w:numPr>
        <w:spacing w:after="60" w:before="0" w:line="360"/>
        <w:jc w:val="both"/>
      </w:pPr>
      <w:r>
        <w:rPr>
          <w:rFonts w:ascii="Arial" w:cs="Arial" w:eastAsia="Arial" w:hAnsi="Arial"/>
          <w:b/>
          <w:bCs/>
          <w:sz w:val="24"/>
          <w:szCs w:val="24"/>
          <w:lang w:val="id-ID"/>
        </w:rPr>
        <w:t xml:space="preserve">Kepercayaan publik menurun</w:t>
      </w:r>
      <w:r>
        <w:rPr>
          <w:rFonts w:ascii="Arial" w:cs="Arial" w:eastAsia="Arial" w:hAnsi="Arial"/>
          <w:sz w:val="24"/>
          <w:szCs w:val="24"/>
          <w:lang w:val="id-ID"/>
        </w:rPr>
        <w:t xml:space="preserve"> dan temuan maladministrasi berpotensi berulang.</w:t>
      </w:r>
    </w:p>
    <w:p>
      <w:pPr>
        <w:pStyle w:val="Heading1"/>
      </w:pPr>
      <w:r>
        <w:rPr>
          <w:rFonts w:ascii="Arial" w:cs="Arial" w:eastAsia="Arial" w:hAnsi="Arial"/>
          <w:sz w:val="24"/>
          <w:szCs w:val="24"/>
          <w:lang w:val="id-ID"/>
        </w:rPr>
        <w:t xml:space="preserve">B. ALTERNATIF SOLUSI KREATIF DAN SOLUSI PRIORITAS (TAPISAN McNAMARA)</w:t>
      </w:r>
    </w:p>
    <w:p>
      <w:pPr>
        <w:pStyle w:val="Heading2"/>
      </w:pPr>
      <w:r>
        <w:rPr>
          <w:rFonts w:ascii="Arial" w:cs="Arial" w:eastAsia="Arial" w:hAnsi="Arial"/>
          <w:sz w:val="24"/>
          <w:szCs w:val="24"/>
          <w:lang w:val="id-ID"/>
        </w:rPr>
        <w:t xml:space="preserve">B.1 Alternatif Solusi Kreatif</w:t>
      </w:r>
    </w:p>
    <w:p>
      <w:pPr>
        <w:spacing w:after="120" w:before="0" w:line="360"/>
        <w:jc w:val="both"/>
      </w:pPr>
      <w:r>
        <w:rPr>
          <w:rFonts w:ascii="Arial" w:cs="Arial" w:eastAsia="Arial" w:hAnsi="Arial"/>
          <w:sz w:val="24"/>
          <w:szCs w:val="24"/>
          <w:lang w:val="id-ID"/>
        </w:rPr>
        <w:t xml:space="preserve">Alternatif solusi dirumuskan untuk menjawab akar masalah dominan dengan teknik berpikir kreatif—curah gagasan (</w:t>
      </w:r>
      <w:r>
        <w:rPr>
          <w:rFonts w:ascii="Arial" w:cs="Arial" w:eastAsia="Arial" w:hAnsi="Arial"/>
          <w:i/>
          <w:iCs/>
          <w:sz w:val="24"/>
          <w:szCs w:val="24"/>
          <w:lang w:val="id-ID"/>
        </w:rPr>
        <w:t xml:space="preserve">brainstorming</w:t>
      </w:r>
      <w:r>
        <w:rPr>
          <w:rFonts w:ascii="Arial" w:cs="Arial" w:eastAsia="Arial" w:hAnsi="Arial"/>
          <w:sz w:val="24"/>
          <w:szCs w:val="24"/>
          <w:lang w:val="id-ID"/>
        </w:rPr>
        <w:t xml:space="preserve">), Amati–Tiru–Modifikasi (ATM) praktik baik, dan penggabungan gagasan (</w:t>
      </w:r>
      <w:r>
        <w:rPr>
          <w:rFonts w:ascii="Arial" w:cs="Arial" w:eastAsia="Arial" w:hAnsi="Arial"/>
          <w:i/>
          <w:iCs/>
          <w:sz w:val="24"/>
          <w:szCs w:val="24"/>
          <w:lang w:val="id-ID"/>
        </w:rPr>
        <w:t xml:space="preserve">combine</w:t>
      </w:r>
      <w:r>
        <w:rPr>
          <w:rFonts w:ascii="Arial" w:cs="Arial" w:eastAsia="Arial" w:hAnsi="Arial"/>
          <w:sz w:val="24"/>
          <w:szCs w:val="24"/>
          <w:lang w:val="id-ID"/>
        </w:rPr>
        <w:t xml:space="preserve">)—agar tidak berhenti pada solusi rutin. Lima alternatif yang dihasilkan adalah sebagai berikut.</w:t>
      </w:r>
    </w:p>
    <w:p>
      <w:pPr>
        <w:pStyle w:val="ListParagraph"/>
        <w:numPr>
          <w:ilvl w:val="0"/>
          <w:numId w:val="4"/>
        </w:numPr>
        <w:spacing w:after="60" w:before="0" w:line="360"/>
        <w:jc w:val="both"/>
      </w:pPr>
      <w:r>
        <w:rPr>
          <w:rFonts w:ascii="Arial" w:cs="Arial" w:eastAsia="Arial" w:hAnsi="Arial"/>
          <w:b/>
          <w:bCs/>
          <w:sz w:val="24"/>
          <w:szCs w:val="24"/>
          <w:lang w:val="id-ID"/>
        </w:rPr>
        <w:t xml:space="preserve">Pergub Payung SJUT dan Rencana Induk SJUT Terintegrasi RTRW–RPJMD</w:t>
      </w:r>
      <w:r>
        <w:rPr>
          <w:rFonts w:ascii="Arial" w:cs="Arial" w:eastAsia="Arial" w:hAnsi="Arial"/>
          <w:sz w:val="24"/>
          <w:szCs w:val="24"/>
          <w:lang w:val="id-ID"/>
        </w:rPr>
        <w:t xml:space="preserve"> (pendekatan regulatif). Menerbitkan regulasi pengganti yang berkesinambungan, disertai rencana induk yang memuat ruas prioritas, tahapan, dan target tahunan, serta disusun melalui konsultasi publik dengan pemangku kepentingan sebagaimana direkomendasikan Ombudsman.</w:t>
      </w:r>
    </w:p>
    <w:p>
      <w:pPr>
        <w:pStyle w:val="ListParagraph"/>
        <w:numPr>
          <w:ilvl w:val="0"/>
          <w:numId w:val="4"/>
        </w:numPr>
        <w:spacing w:after="60" w:before="0" w:line="360"/>
        <w:jc w:val="both"/>
      </w:pPr>
      <w:r>
        <w:rPr>
          <w:rFonts w:ascii="Arial" w:cs="Arial" w:eastAsia="Arial" w:hAnsi="Arial"/>
          <w:b/>
          <w:bCs/>
          <w:sz w:val="24"/>
          <w:szCs w:val="24"/>
          <w:lang w:val="id-ID"/>
        </w:rPr>
        <w:t xml:space="preserve">Tim Akselerasi SJUT (</w:t>
      </w:r>
      <w:r>
        <w:rPr>
          <w:rFonts w:ascii="Arial" w:cs="Arial" w:eastAsia="Arial" w:hAnsi="Arial"/>
          <w:b/>
          <w:bCs/>
          <w:i/>
          <w:iCs/>
          <w:sz w:val="24"/>
          <w:szCs w:val="24"/>
          <w:lang w:val="id-ID"/>
        </w:rPr>
        <w:t xml:space="preserve">Project Management Office</w:t>
      </w:r>
      <w:r>
        <w:rPr>
          <w:rFonts w:ascii="Arial" w:cs="Arial" w:eastAsia="Arial" w:hAnsi="Arial"/>
          <w:b/>
          <w:bCs/>
          <w:sz w:val="24"/>
          <w:szCs w:val="24"/>
          <w:lang w:val="id-ID"/>
        </w:rPr>
        <w:t xml:space="preserve">) dengan Kontrak Kinerja BUMD</w:t>
      </w:r>
      <w:r>
        <w:rPr>
          <w:rFonts w:ascii="Arial" w:cs="Arial" w:eastAsia="Arial" w:hAnsi="Arial"/>
          <w:sz w:val="24"/>
          <w:szCs w:val="24"/>
          <w:lang w:val="id-ID"/>
        </w:rPr>
        <w:t xml:space="preserve"> (pendekatan kelembagaan). Membentuk satu komando lintas perangkat daerah di bawah Sekretaris Daerah; setiap BUMD terikat indikator kinerja per ruas yang dievaluasi setiap triwulan dengan mekanisme </w:t>
      </w:r>
      <w:r>
        <w:rPr>
          <w:rFonts w:ascii="Arial" w:cs="Arial" w:eastAsia="Arial" w:hAnsi="Arial"/>
          <w:i/>
          <w:iCs/>
          <w:sz w:val="24"/>
          <w:szCs w:val="24"/>
          <w:lang w:val="id-ID"/>
        </w:rPr>
        <w:t xml:space="preserve">reward and punishment</w:t>
      </w:r>
      <w:r>
        <w:rPr>
          <w:rFonts w:ascii="Arial" w:cs="Arial" w:eastAsia="Arial" w:hAnsi="Arial"/>
          <w:sz w:val="24"/>
          <w:szCs w:val="24"/>
          <w:lang w:val="id-ID"/>
        </w:rPr>
        <w:t xml:space="preserve">, termasuk pengalihan ruas bila target tidak tercapai.</w:t>
      </w:r>
    </w:p>
    <w:p>
      <w:pPr>
        <w:pStyle w:val="ListParagraph"/>
        <w:numPr>
          <w:ilvl w:val="0"/>
          <w:numId w:val="4"/>
        </w:numPr>
        <w:spacing w:after="60" w:before="0" w:line="360"/>
        <w:jc w:val="both"/>
      </w:pPr>
      <w:r>
        <w:rPr>
          <w:rFonts w:ascii="Arial" w:cs="Arial" w:eastAsia="Arial" w:hAnsi="Arial"/>
          <w:b/>
          <w:bCs/>
          <w:sz w:val="24"/>
          <w:szCs w:val="24"/>
          <w:lang w:val="id-ID"/>
        </w:rPr>
        <w:t xml:space="preserve">SIGAP-SJUT: Platform Digital Pengendalian SJUT “Satu Peta, Satu Data, Satu Dasbor”</w:t>
      </w:r>
      <w:r>
        <w:rPr>
          <w:rFonts w:ascii="Arial" w:cs="Arial" w:eastAsia="Arial" w:hAnsi="Arial"/>
          <w:sz w:val="24"/>
          <w:szCs w:val="24"/>
          <w:lang w:val="id-ID"/>
        </w:rPr>
        <w:t xml:space="preserve"> (pendekatan inovasi digital-kolaboratif). Menggabungkan peta digital utilitas di atas dan di bawah tanah (termasuk kabel bekas), dasbor progres dan peringatan dini, transparansi tarif, kanal “Lapor Kabel” terintegrasi JAKI, serta kalender galian terpadu (</w:t>
      </w:r>
      <w:r>
        <w:rPr>
          <w:rFonts w:ascii="Arial" w:cs="Arial" w:eastAsia="Arial" w:hAnsi="Arial"/>
          <w:i/>
          <w:iCs/>
          <w:sz w:val="24"/>
          <w:szCs w:val="24"/>
          <w:lang w:val="id-ID"/>
        </w:rPr>
        <w:t xml:space="preserve">dig once</w:t>
      </w:r>
      <w:r>
        <w:rPr>
          <w:rFonts w:ascii="Arial" w:cs="Arial" w:eastAsia="Arial" w:hAnsi="Arial"/>
          <w:sz w:val="24"/>
          <w:szCs w:val="24"/>
          <w:lang w:val="id-ID"/>
        </w:rPr>
        <w:t xml:space="preserve">) dalam satu platform yang digunakan bersama oleh Pemprov, BUMD, operator, dan warga.</w:t>
      </w:r>
    </w:p>
    <w:p>
      <w:pPr>
        <w:pStyle w:val="ListParagraph"/>
        <w:numPr>
          <w:ilvl w:val="0"/>
          <w:numId w:val="4"/>
        </w:numPr>
        <w:spacing w:after="60" w:before="0" w:line="360"/>
        <w:jc w:val="both"/>
      </w:pPr>
      <w:r>
        <w:rPr>
          <w:rFonts w:ascii="Arial" w:cs="Arial" w:eastAsia="Arial" w:hAnsi="Arial"/>
          <w:b/>
          <w:bCs/>
          <w:sz w:val="24"/>
          <w:szCs w:val="24"/>
          <w:lang w:val="id-ID"/>
        </w:rPr>
        <w:t xml:space="preserve">Skema “Turun Kabel”: Tarif Berbasis Biaya dan Insentif–Disinsentif Migrasi</w:t>
      </w:r>
      <w:r>
        <w:rPr>
          <w:rFonts w:ascii="Arial" w:cs="Arial" w:eastAsia="Arial" w:hAnsi="Arial"/>
          <w:sz w:val="24"/>
          <w:szCs w:val="24"/>
          <w:lang w:val="id-ID"/>
        </w:rPr>
        <w:t xml:space="preserve"> (pendekatan ekonomi). Tarif dihitung dengan formula biaya yang terbuka; operator yang segera bermigrasi dan membongkar kabel bekasnya memperoleh keringanan sewa awal, sedangkan kabel udara di ruas yang telah memiliki SJUT ditertibkan secara bertahap (</w:t>
      </w:r>
      <w:r>
        <w:rPr>
          <w:rFonts w:ascii="Arial" w:cs="Arial" w:eastAsia="Arial" w:hAnsi="Arial"/>
          <w:i/>
          <w:iCs/>
          <w:sz w:val="24"/>
          <w:szCs w:val="24"/>
          <w:lang w:val="id-ID"/>
        </w:rPr>
        <w:t xml:space="preserve">sunset policy</w:t>
      </w:r>
      <w:r>
        <w:rPr>
          <w:rFonts w:ascii="Arial" w:cs="Arial" w:eastAsia="Arial" w:hAnsi="Arial"/>
          <w:sz w:val="24"/>
          <w:szCs w:val="24"/>
          <w:lang w:val="id-ID"/>
        </w:rPr>
        <w:t xml:space="preserve">).</w:t>
      </w:r>
    </w:p>
    <w:p>
      <w:pPr>
        <w:pStyle w:val="ListParagraph"/>
        <w:numPr>
          <w:ilvl w:val="0"/>
          <w:numId w:val="4"/>
        </w:numPr>
        <w:spacing w:after="60" w:before="0" w:line="360"/>
        <w:jc w:val="both"/>
      </w:pPr>
      <w:r>
        <w:rPr>
          <w:rFonts w:ascii="Arial" w:cs="Arial" w:eastAsia="Arial" w:hAnsi="Arial"/>
          <w:b/>
          <w:bCs/>
          <w:sz w:val="24"/>
          <w:szCs w:val="24"/>
          <w:lang w:val="id-ID"/>
        </w:rPr>
        <w:t xml:space="preserve">Gerakan “Jakarta Bebas Kabel Mati” Berbasis Ekonomi Sirkular</w:t>
      </w:r>
      <w:r>
        <w:rPr>
          <w:rFonts w:ascii="Arial" w:cs="Arial" w:eastAsia="Arial" w:hAnsi="Arial"/>
          <w:sz w:val="24"/>
          <w:szCs w:val="24"/>
          <w:lang w:val="id-ID"/>
        </w:rPr>
        <w:t xml:space="preserve"> (pendekatan lingkungan dan partisipatif). Pembongkaran kabel bekas secara terjadwal bersama operator, wilayah, dan Satpol PP; material bekas didaur ulang sehingga nilai ekonominya ikut membiayai kegiatan.</w:t>
      </w:r>
    </w:p>
    <w:p>
      <w:pPr>
        <w:pStyle w:val="Heading2"/>
      </w:pPr>
      <w:r>
        <w:rPr>
          <w:rFonts w:ascii="Arial" w:cs="Arial" w:eastAsia="Arial" w:hAnsi="Arial"/>
          <w:sz w:val="24"/>
          <w:szCs w:val="24"/>
          <w:lang w:val="id-ID"/>
        </w:rPr>
        <w:t xml:space="preserve">B.2 Penentuan Solusi Prioritas dengan Tapisan McNamara</w:t>
      </w:r>
    </w:p>
    <w:p>
      <w:pPr>
        <w:keepNext/>
        <w:spacing w:after="120" w:before="0" w:line="360"/>
        <w:jc w:val="both"/>
      </w:pPr>
      <w:r>
        <w:rPr>
          <w:rFonts w:ascii="Arial" w:cs="Arial" w:eastAsia="Arial" w:hAnsi="Arial"/>
          <w:sz w:val="24"/>
          <w:szCs w:val="24"/>
          <w:lang w:val="id-ID"/>
        </w:rPr>
        <w:t xml:space="preserve">Kelima alternatif dinilai dengan Tapisan McNamara menggunakan tiga kriteria berskala 1–5:</w:t>
      </w:r>
    </w:p>
    <w:p>
      <w:pPr>
        <w:pStyle w:val="ListParagraph"/>
        <w:numPr>
          <w:ilvl w:val="0"/>
          <w:numId w:val="5"/>
        </w:numPr>
        <w:spacing w:after="60" w:before="0" w:line="360"/>
        <w:jc w:val="both"/>
      </w:pPr>
      <w:r>
        <w:rPr>
          <w:rFonts w:ascii="Arial" w:cs="Arial" w:eastAsia="Arial" w:hAnsi="Arial"/>
          <w:b/>
          <w:bCs/>
          <w:sz w:val="24"/>
          <w:szCs w:val="24"/>
          <w:lang w:val="id-ID"/>
        </w:rPr>
        <w:t xml:space="preserve">Kontribusi</w:t>
      </w:r>
      <w:r>
        <w:rPr>
          <w:rFonts w:ascii="Arial" w:cs="Arial" w:eastAsia="Arial" w:hAnsi="Arial"/>
          <w:sz w:val="24"/>
          <w:szCs w:val="24"/>
          <w:lang w:val="id-ID"/>
        </w:rPr>
        <w:t xml:space="preserve">: besarnya sumbangan alternatif dalam menyelesaikan akar masalah dominan dan meningkatkan realisasi SJUT.</w:t>
      </w:r>
    </w:p>
    <w:p>
      <w:pPr>
        <w:pStyle w:val="ListParagraph"/>
        <w:numPr>
          <w:ilvl w:val="0"/>
          <w:numId w:val="5"/>
        </w:numPr>
        <w:spacing w:after="60" w:before="0" w:line="360"/>
        <w:jc w:val="both"/>
      </w:pPr>
      <w:r>
        <w:rPr>
          <w:rFonts w:ascii="Arial" w:cs="Arial" w:eastAsia="Arial" w:hAnsi="Arial"/>
          <w:b/>
          <w:bCs/>
          <w:sz w:val="24"/>
          <w:szCs w:val="24"/>
          <w:lang w:val="id-ID"/>
        </w:rPr>
        <w:t xml:space="preserve">Kelayakan</w:t>
      </w:r>
      <w:r>
        <w:rPr>
          <w:rFonts w:ascii="Arial" w:cs="Arial" w:eastAsia="Arial" w:hAnsi="Arial"/>
          <w:sz w:val="24"/>
          <w:szCs w:val="24"/>
          <w:lang w:val="id-ID"/>
        </w:rPr>
        <w:t xml:space="preserve">: kemudahan pelaksanaan dilihat dari kewenangan, regulasi, SDM, teknologi, waktu, dan dukungan pemangku kepentingan.</w:t>
      </w:r>
    </w:p>
    <w:p>
      <w:pPr>
        <w:pStyle w:val="ListParagraph"/>
        <w:numPr>
          <w:ilvl w:val="0"/>
          <w:numId w:val="5"/>
        </w:numPr>
        <w:spacing w:after="60" w:before="0" w:line="360"/>
        <w:jc w:val="both"/>
      </w:pPr>
      <w:r>
        <w:rPr>
          <w:rFonts w:ascii="Arial" w:cs="Arial" w:eastAsia="Arial" w:hAnsi="Arial"/>
          <w:b/>
          <w:bCs/>
          <w:sz w:val="24"/>
          <w:szCs w:val="24"/>
          <w:lang w:val="id-ID"/>
        </w:rPr>
        <w:t xml:space="preserve">Biaya</w:t>
      </w:r>
      <w:r>
        <w:rPr>
          <w:rFonts w:ascii="Arial" w:cs="Arial" w:eastAsia="Arial" w:hAnsi="Arial"/>
          <w:sz w:val="24"/>
          <w:szCs w:val="24"/>
          <w:lang w:val="id-ID"/>
        </w:rPr>
        <w:t xml:space="preserve">: efisiensi biaya pelaksanaan (skor 5 = biaya paling rendah/efisien; skor 1 = biaya paling tinggi).</w:t>
      </w:r>
    </w:p>
    <w:p>
      <w:pPr>
        <w:keepNext/>
        <w:spacing w:after="80" w:before="120" w:line="276"/>
        <w:jc w:val="center"/>
      </w:pPr>
      <w:r>
        <w:rPr>
          <w:rFonts w:ascii="Arial" w:cs="Arial" w:eastAsia="Arial" w:hAnsi="Arial"/>
          <w:b/>
          <w:bCs/>
          <w:sz w:val="22"/>
          <w:szCs w:val="22"/>
          <w:lang w:val="id-ID"/>
        </w:rPr>
        <w:t xml:space="preserve">Tabel 5. Tapisan McNamara terhadap Alternatif Solusi</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2657"/>
        <w:gridCol w:w="1380"/>
        <w:gridCol w:w="1360"/>
        <w:gridCol w:w="880"/>
        <w:gridCol w:w="800"/>
        <w:gridCol w:w="1150"/>
      </w:tblGrid>
      <w:tr>
        <w:trPr>
          <w:cantSplit/>
          <w:tblHeader/>
        </w:trPr>
        <w:tc>
          <w:tcPr>
            <w:tcW w:type="dxa" w:w="56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No</w:t>
            </w:r>
          </w:p>
        </w:tc>
        <w:tc>
          <w:tcPr>
            <w:tcW w:type="dxa" w:w="265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Alternatif Solusi</w:t>
            </w:r>
          </w:p>
        </w:tc>
        <w:tc>
          <w:tcPr>
            <w:tcW w:type="dxa" w:w="138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Kontribusi</w:t>
            </w:r>
          </w:p>
        </w:tc>
        <w:tc>
          <w:tcPr>
            <w:tcW w:type="dxa" w:w="136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Kelayakan</w:t>
            </w:r>
          </w:p>
        </w:tc>
        <w:tc>
          <w:tcPr>
            <w:tcW w:type="dxa" w:w="88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Biaya</w:t>
            </w:r>
          </w:p>
        </w:tc>
        <w:tc>
          <w:tcPr>
            <w:tcW w:type="dxa" w:w="8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Total</w:t>
            </w:r>
          </w:p>
        </w:tc>
        <w:tc>
          <w:tcPr>
            <w:tcW w:type="dxa" w:w="115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Ranking</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w:t>
            </w:r>
          </w:p>
        </w:tc>
        <w:tc>
          <w:tcPr>
            <w:tcW w:type="dxa" w:w="265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Pergub payung SJUT dan rencana induk terintegrasi RTRW–RPJMD</w:t>
            </w:r>
          </w:p>
        </w:tc>
        <w:tc>
          <w:tcPr>
            <w:tcW w:type="dxa" w:w="13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13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8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11</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III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2</w:t>
            </w:r>
          </w:p>
        </w:tc>
        <w:tc>
          <w:tcPr>
            <w:tcW w:type="dxa" w:w="265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Tim Akselerasi SJUT (PMO) dengan kontrak kinerja BUMD</w:t>
            </w:r>
          </w:p>
        </w:tc>
        <w:tc>
          <w:tcPr>
            <w:tcW w:type="dxa" w:w="13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13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12</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II</w:t>
            </w:r>
          </w:p>
        </w:tc>
      </w:tr>
      <w:tr>
        <w:trPr>
          <w:cantSplit/>
        </w:trPr>
        <w:tc>
          <w:tcPr>
            <w:tcW w:type="dxa" w:w="56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2657"/>
            <w:shd w:fill="EAF1DD" w:color="auto" w:val="clear"/>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SIGAP-SJUT: platform digital “Satu Peta, Satu Data, Satu Dasbor”</w:t>
            </w:r>
          </w:p>
        </w:tc>
        <w:tc>
          <w:tcPr>
            <w:tcW w:type="dxa" w:w="138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5</w:t>
            </w:r>
          </w:p>
        </w:tc>
        <w:tc>
          <w:tcPr>
            <w:tcW w:type="dxa" w:w="136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4</w:t>
            </w:r>
          </w:p>
        </w:tc>
        <w:tc>
          <w:tcPr>
            <w:tcW w:type="dxa" w:w="88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4</w:t>
            </w:r>
          </w:p>
        </w:tc>
        <w:tc>
          <w:tcPr>
            <w:tcW w:type="dxa" w:w="80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13</w:t>
            </w:r>
          </w:p>
        </w:tc>
        <w:tc>
          <w:tcPr>
            <w:tcW w:type="dxa" w:w="1150"/>
            <w:shd w:fill="EAF1DD"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I</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265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Skema “Turun Kabel”: tarif berbasis biaya dan insentif–disinsentif migrasi</w:t>
            </w:r>
          </w:p>
        </w:tc>
        <w:tc>
          <w:tcPr>
            <w:tcW w:type="dxa" w:w="13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13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2</w:t>
            </w:r>
          </w:p>
        </w:tc>
        <w:tc>
          <w:tcPr>
            <w:tcW w:type="dxa" w:w="8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9</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V</w:t>
            </w:r>
          </w:p>
        </w:tc>
      </w:tr>
      <w:tr>
        <w:trPr>
          <w:cantSplit/>
        </w:trPr>
        <w:tc>
          <w:tcPr>
            <w:tcW w:type="dxa" w:w="5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5</w:t>
            </w:r>
          </w:p>
        </w:tc>
        <w:tc>
          <w:tcPr>
            <w:tcW w:type="dxa" w:w="265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Gerakan “Jakarta Bebas Kabel Mati” berbasis ekonomi sirkular</w:t>
            </w:r>
          </w:p>
        </w:tc>
        <w:tc>
          <w:tcPr>
            <w:tcW w:type="dxa" w:w="13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136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4</w:t>
            </w:r>
          </w:p>
        </w:tc>
        <w:tc>
          <w:tcPr>
            <w:tcW w:type="dxa" w:w="88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3</w:t>
            </w:r>
          </w:p>
        </w:tc>
        <w:tc>
          <w:tcPr>
            <w:tcW w:type="dxa" w:w="80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10</w:t>
            </w:r>
          </w:p>
        </w:tc>
        <w:tc>
          <w:tcPr>
            <w:tcW w:type="dxa" w:w="1150"/>
            <w:tcMar>
              <w:top w:type="dxa" w:w="40"/>
              <w:left w:type="dxa" w:w="90"/>
              <w:bottom w:type="dxa" w:w="40"/>
              <w:right w:type="dxa" w:w="90"/>
            </w:tcMar>
            <w:vAlign w:val="center"/>
          </w:tcPr>
          <w:p>
            <w:pPr>
              <w:spacing w:after="40" w:before="40" w:line="240"/>
              <w:jc w:val="center"/>
            </w:pPr>
            <w:r>
              <w:rPr>
                <w:rFonts w:ascii="Arial" w:cs="Arial" w:eastAsia="Arial" w:hAnsi="Arial"/>
                <w:sz w:val="22"/>
                <w:szCs w:val="22"/>
                <w:lang w:val="id-ID"/>
              </w:rPr>
              <w:t xml:space="preserve">IV</w:t>
            </w:r>
          </w:p>
        </w:tc>
      </w:tr>
    </w:tbl>
    <w:p>
      <w:pPr>
        <w:spacing w:after="160" w:before="60" w:line="240"/>
      </w:pPr>
      <w:r>
        <w:rPr>
          <w:rFonts w:ascii="Arial" w:cs="Arial" w:eastAsia="Arial" w:hAnsi="Arial"/>
          <w:i/>
          <w:iCs/>
          <w:sz w:val="20"/>
          <w:szCs w:val="20"/>
          <w:lang w:val="id-ID"/>
        </w:rPr>
        <w:t xml:space="preserve">Keterangan: 1 = sangat rendah; 2 = rendah; 3 = sedang; 4 = tinggi; 5 = sangat tinggi.</w:t>
      </w:r>
    </w:p>
    <w:p>
      <w:pPr>
        <w:keepNext/>
        <w:spacing w:after="60" w:before="0" w:line="360"/>
        <w:jc w:val="both"/>
      </w:pPr>
      <w:r>
        <w:rPr>
          <w:rFonts w:ascii="Arial" w:cs="Arial" w:eastAsia="Arial" w:hAnsi="Arial"/>
          <w:sz w:val="24"/>
          <w:szCs w:val="24"/>
          <w:lang w:val="id-ID"/>
        </w:rPr>
        <w:t xml:space="preserve">Rasional penilaian:</w:t>
      </w:r>
    </w:p>
    <w:p>
      <w:pPr>
        <w:pStyle w:val="ListParagraph"/>
        <w:numPr>
          <w:ilvl w:val="0"/>
          <w:numId w:val="5"/>
        </w:numPr>
        <w:spacing w:after="60" w:before="0" w:line="360"/>
        <w:jc w:val="both"/>
      </w:pPr>
      <w:r>
        <w:rPr>
          <w:rFonts w:ascii="Arial" w:cs="Arial" w:eastAsia="Arial" w:hAnsi="Arial"/>
          <w:b/>
          <w:bCs/>
          <w:sz w:val="24"/>
          <w:szCs w:val="24"/>
          <w:lang w:val="id-ID"/>
        </w:rPr>
        <w:t xml:space="preserve">SIGAP-SJUT (13)</w:t>
      </w:r>
      <w:r>
        <w:rPr>
          <w:rFonts w:ascii="Arial" w:cs="Arial" w:eastAsia="Arial" w:hAnsi="Arial"/>
          <w:sz w:val="24"/>
          <w:szCs w:val="24"/>
          <w:lang w:val="id-ID"/>
        </w:rPr>
        <w:t xml:space="preserve">: kontribusinya paling besar karena langsung menutup akar masalah dominan (rencana, data, pemantauan, dan peringatan dini) sekaligus mengungkit masalah pokok lain (tarif, kabel bekas, dan aduan warga). Layak dilaksanakan karena berada dalam kewenangan Pemprov dan dibangun di atas ekosistem digital yang sudah berjalan (JAKI, portal geospasial Jakarta Satu, Jakarta Smart City). Biayanya efisien karena berupa pengembangan modul pada platform yang ada—jauh lebih kecil daripada kerugian akibat galian berulang dan proyek yang mangkrak.</w:t>
      </w:r>
    </w:p>
    <w:p>
      <w:pPr>
        <w:pStyle w:val="ListParagraph"/>
        <w:numPr>
          <w:ilvl w:val="0"/>
          <w:numId w:val="5"/>
        </w:numPr>
        <w:spacing w:after="60" w:before="0" w:line="360"/>
        <w:jc w:val="both"/>
      </w:pPr>
      <w:r>
        <w:rPr>
          <w:rFonts w:ascii="Arial" w:cs="Arial" w:eastAsia="Arial" w:hAnsi="Arial"/>
          <w:b/>
          <w:bCs/>
          <w:sz w:val="24"/>
          <w:szCs w:val="24"/>
          <w:lang w:val="id-ID"/>
        </w:rPr>
        <w:t xml:space="preserve">Tim Akselerasi (12)</w:t>
      </w:r>
      <w:r>
        <w:rPr>
          <w:rFonts w:ascii="Arial" w:cs="Arial" w:eastAsia="Arial" w:hAnsi="Arial"/>
          <w:sz w:val="24"/>
          <w:szCs w:val="24"/>
          <w:lang w:val="id-ID"/>
        </w:rPr>
        <w:t xml:space="preserve">: paling murah dan cukup ditetapkan dengan keputusan gubernur, tetapi kontribusinya sedang karena tanpa rencana induk dan data yang mutakhir, pengendalian berisiko berhenti pada rapat koordinasi yang formalitas.</w:t>
      </w:r>
    </w:p>
    <w:p>
      <w:pPr>
        <w:pStyle w:val="ListParagraph"/>
        <w:numPr>
          <w:ilvl w:val="0"/>
          <w:numId w:val="5"/>
        </w:numPr>
        <w:spacing w:after="60" w:before="0" w:line="360"/>
        <w:jc w:val="both"/>
      </w:pPr>
      <w:r>
        <w:rPr>
          <w:rFonts w:ascii="Arial" w:cs="Arial" w:eastAsia="Arial" w:hAnsi="Arial"/>
          <w:b/>
          <w:bCs/>
          <w:sz w:val="24"/>
          <w:szCs w:val="24"/>
          <w:lang w:val="id-ID"/>
        </w:rPr>
        <w:t xml:space="preserve">Pergub dan rencana induk (11)</w:t>
      </w:r>
      <w:r>
        <w:rPr>
          <w:rFonts w:ascii="Arial" w:cs="Arial" w:eastAsia="Arial" w:hAnsi="Arial"/>
          <w:sz w:val="24"/>
          <w:szCs w:val="24"/>
          <w:lang w:val="id-ID"/>
        </w:rPr>
        <w:t xml:space="preserve">: penting sebagai syarat perlu, tetapi penyusunan, harmonisasi, dan konsultasi publiknya memerlukan waktu, dan dokumen saja tidak menjamin pelaksanaan terpantau.</w:t>
      </w:r>
    </w:p>
    <w:p>
      <w:pPr>
        <w:pStyle w:val="ListParagraph"/>
        <w:numPr>
          <w:ilvl w:val="0"/>
          <w:numId w:val="5"/>
        </w:numPr>
        <w:spacing w:after="60" w:before="0" w:line="360"/>
        <w:jc w:val="both"/>
      </w:pPr>
      <w:r>
        <w:rPr>
          <w:rFonts w:ascii="Arial" w:cs="Arial" w:eastAsia="Arial" w:hAnsi="Arial"/>
          <w:b/>
          <w:bCs/>
          <w:sz w:val="24"/>
          <w:szCs w:val="24"/>
          <w:lang w:val="id-ID"/>
        </w:rPr>
        <w:t xml:space="preserve">Gerakan Jakarta Bebas Kabel Mati (10)</w:t>
      </w:r>
      <w:r>
        <w:rPr>
          <w:rFonts w:ascii="Arial" w:cs="Arial" w:eastAsia="Arial" w:hAnsi="Arial"/>
          <w:sz w:val="24"/>
          <w:szCs w:val="24"/>
          <w:lang w:val="id-ID"/>
        </w:rPr>
        <w:t xml:space="preserve">: berdampak langsung pada keselamatan dan estetika, tetapi kontribusinya terhadap realisasi pembangunan SJUT tidak langsung dan pembongkaran massal membutuhkan biaya operasional besar.</w:t>
      </w:r>
    </w:p>
    <w:p>
      <w:pPr>
        <w:pStyle w:val="ListParagraph"/>
        <w:numPr>
          <w:ilvl w:val="0"/>
          <w:numId w:val="5"/>
        </w:numPr>
        <w:spacing w:after="60" w:before="0" w:line="360"/>
        <w:jc w:val="both"/>
      </w:pPr>
      <w:r>
        <w:rPr>
          <w:rFonts w:ascii="Arial" w:cs="Arial" w:eastAsia="Arial" w:hAnsi="Arial"/>
          <w:b/>
          <w:bCs/>
          <w:sz w:val="24"/>
          <w:szCs w:val="24"/>
          <w:lang w:val="id-ID"/>
        </w:rPr>
        <w:t xml:space="preserve">Skema Turun Kabel (9)</w:t>
      </w:r>
      <w:r>
        <w:rPr>
          <w:rFonts w:ascii="Arial" w:cs="Arial" w:eastAsia="Arial" w:hAnsi="Arial"/>
          <w:sz w:val="24"/>
          <w:szCs w:val="24"/>
          <w:lang w:val="id-ID"/>
        </w:rPr>
        <w:t xml:space="preserve">: berpotensi meningkatkan okupansi SJUT, tetapi kelayakannya rendah karena kesepakatan tarif dan desain antara Pemprov/BUMD dan operator tidak kunjung tercapai</w:t>
      </w:r>
      <w:r>
        <w:rPr>
          <w:rStyle w:val="FootnoteReference"/>
        </w:rPr>
        <w:footnoteReference w:id="4"/>
      </w:r>
      <w:r>
        <w:rPr>
          <w:rFonts w:ascii="Arial" w:cs="Arial" w:eastAsia="Arial" w:hAnsi="Arial"/>
          <w:sz w:val="24"/>
          <w:szCs w:val="24"/>
          <w:lang w:val="id-ID"/>
        </w:rPr>
        <w:t xml:space="preserve">, sedangkan insentif mengurangi penerimaan pada tahap awal.</w:t>
      </w:r>
    </w:p>
    <w:p>
      <w:pPr>
        <w:spacing w:after="120" w:before="120" w:line="360"/>
        <w:jc w:val="both"/>
      </w:pPr>
      <w:r>
        <w:rPr>
          <w:rFonts w:ascii="Arial" w:cs="Arial" w:eastAsia="Arial" w:hAnsi="Arial"/>
          <w:sz w:val="24"/>
          <w:szCs w:val="24"/>
          <w:lang w:val="id-ID"/>
        </w:rPr>
        <w:t xml:space="preserve">Dengan skor tertinggi, </w:t>
      </w:r>
      <w:r>
        <w:rPr>
          <w:rFonts w:ascii="Arial" w:cs="Arial" w:eastAsia="Arial" w:hAnsi="Arial"/>
          <w:b/>
          <w:bCs/>
          <w:sz w:val="24"/>
          <w:szCs w:val="24"/>
          <w:lang w:val="id-ID"/>
        </w:rPr>
        <w:t xml:space="preserve">solusi prioritas terpilih adalah Alternatif 3: SIGAP-SJUT</w:t>
      </w:r>
      <w:r>
        <w:rPr>
          <w:rFonts w:ascii="Arial" w:cs="Arial" w:eastAsia="Arial" w:hAnsi="Arial"/>
          <w:sz w:val="24"/>
          <w:szCs w:val="24"/>
          <w:lang w:val="id-ID"/>
        </w:rPr>
        <w:t xml:space="preserve">. Alternatif 1 dan 2 tidak dibuang, tetapi diposisikan sebagai pendukung (</w:t>
      </w:r>
      <w:r>
        <w:rPr>
          <w:rFonts w:ascii="Arial" w:cs="Arial" w:eastAsia="Arial" w:hAnsi="Arial"/>
          <w:i/>
          <w:iCs/>
          <w:sz w:val="24"/>
          <w:szCs w:val="24"/>
          <w:lang w:val="id-ID"/>
        </w:rPr>
        <w:t xml:space="preserve">enabler</w:t>
      </w:r>
      <w:r>
        <w:rPr>
          <w:rFonts w:ascii="Arial" w:cs="Arial" w:eastAsia="Arial" w:hAnsi="Arial"/>
          <w:sz w:val="24"/>
          <w:szCs w:val="24"/>
          <w:lang w:val="id-ID"/>
        </w:rPr>
        <w:t xml:space="preserve">): Pergub dan rencana induk menjadi dasar hukum yang mewajibkan penggunaan SIGAP-SJUT, sedangkan Tim Akselerasi menjadi pengguna utama dasbor dalam evaluasi triwulanan. Dengan demikian, SIGAP-SJUT berfungsi sebagai “sistem saraf” yang menghubungkan regulasi, kelembagaan, dan pelaksanaan di lapangan.</w:t>
      </w:r>
    </w:p>
    <w:p>
      <w:pPr>
        <w:pStyle w:val="Heading1"/>
      </w:pPr>
      <w:r>
        <w:rPr>
          <w:rFonts w:ascii="Arial" w:cs="Arial" w:eastAsia="Arial" w:hAnsi="Arial"/>
          <w:sz w:val="24"/>
          <w:szCs w:val="24"/>
          <w:lang w:val="id-ID"/>
        </w:rPr>
        <w:t xml:space="preserve">C. SOLUSI PRIORITAS BERDASARKAN LIMA KRITERIA INOVASI</w:t>
      </w:r>
    </w:p>
    <w:p>
      <w:pPr>
        <w:pStyle w:val="Heading2"/>
      </w:pPr>
      <w:r>
        <w:rPr>
          <w:rFonts w:ascii="Arial" w:cs="Arial" w:eastAsia="Arial" w:hAnsi="Arial"/>
          <w:sz w:val="24"/>
          <w:szCs w:val="24"/>
          <w:lang w:val="id-ID"/>
        </w:rPr>
        <w:t xml:space="preserve">C.1 Gambaran Umum SIGAP-SJUT</w:t>
      </w:r>
    </w:p>
    <w:p>
      <w:pPr>
        <w:spacing w:after="120" w:before="0" w:line="360"/>
        <w:jc w:val="both"/>
      </w:pPr>
      <w:r>
        <w:rPr>
          <w:rFonts w:ascii="Arial" w:cs="Arial" w:eastAsia="Arial" w:hAnsi="Arial"/>
          <w:b/>
          <w:bCs/>
          <w:sz w:val="24"/>
          <w:szCs w:val="24"/>
          <w:lang w:val="id-ID"/>
        </w:rPr>
        <w:t xml:space="preserve">SIGAP-SJUT (Sistem Informasi Geografis untuk Akselerasi dan Pengendalian SJUT)</w:t>
      </w:r>
      <w:r>
        <w:rPr>
          <w:rFonts w:ascii="Arial" w:cs="Arial" w:eastAsia="Arial" w:hAnsi="Arial"/>
          <w:sz w:val="24"/>
          <w:szCs w:val="24"/>
          <w:lang w:val="id-ID"/>
        </w:rPr>
        <w:t xml:space="preserve"> adalah platform digital kolaboratif untuk merencanakan, memantau, dan mengendalikan pembangunan SJUT dengan prinsip “Satu Peta, Satu Data, Satu Dasbor”. Nama SIGAP menegaskan perubahan budaya kerja: dari menunggu aduan dan korban menjadi sigap mendeteksi dan mencegah. Platform ini terdiri atas lima modul (Tabel 6).</w:t>
      </w:r>
    </w:p>
    <w:p>
      <w:pPr>
        <w:keepNext/>
        <w:spacing w:after="80" w:before="120" w:line="276"/>
        <w:jc w:val="center"/>
      </w:pPr>
      <w:r>
        <w:rPr>
          <w:rFonts w:ascii="Arial" w:cs="Arial" w:eastAsia="Arial" w:hAnsi="Arial"/>
          <w:b/>
          <w:bCs/>
          <w:sz w:val="22"/>
          <w:szCs w:val="22"/>
          <w:lang w:val="id-ID"/>
        </w:rPr>
        <w:t xml:space="preserve">Tabel 6. Modul SIGAP-SJUT dan Akar Masalah yang Dijawab</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50"/>
        <w:gridCol w:w="4137"/>
        <w:gridCol w:w="2600"/>
      </w:tblGrid>
      <w:tr>
        <w:trPr>
          <w:cantSplit/>
          <w:tblHeader/>
        </w:trPr>
        <w:tc>
          <w:tcPr>
            <w:tcW w:type="dxa" w:w="205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Modul</w:t>
            </w:r>
          </w:p>
        </w:tc>
        <w:tc>
          <w:tcPr>
            <w:tcW w:type="dxa" w:w="413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Fungsi Utama</w:t>
            </w:r>
          </w:p>
        </w:tc>
        <w:tc>
          <w:tcPr>
            <w:tcW w:type="dxa" w:w="26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Akar Masalah yang Dijawab</w:t>
            </w:r>
          </w:p>
        </w:tc>
      </w:tr>
      <w:tr>
        <w:trPr>
          <w:cantSplit/>
        </w:trPr>
        <w:tc>
          <w:tcPr>
            <w:tcW w:type="dxa" w:w="20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1. Satu Peta Utilitas</w:t>
            </w:r>
          </w:p>
        </w:tc>
        <w:tc>
          <w:tcPr>
            <w:tcW w:type="dxa" w:w="41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Peta digital jaringan di atas dan di bawah tanah (</w:t>
            </w:r>
            <w:r>
              <w:rPr>
                <w:rFonts w:ascii="Arial" w:cs="Arial" w:eastAsia="Arial" w:hAnsi="Arial"/>
                <w:i/>
                <w:iCs/>
                <w:sz w:val="22"/>
                <w:szCs w:val="22"/>
                <w:lang w:val="id-ID"/>
              </w:rPr>
              <w:t xml:space="preserve">ducting</w:t>
            </w:r>
            <w:r>
              <w:rPr>
                <w:rFonts w:ascii="Arial" w:cs="Arial" w:eastAsia="Arial" w:hAnsi="Arial"/>
                <w:sz w:val="22"/>
                <w:szCs w:val="22"/>
                <w:lang w:val="id-ID"/>
              </w:rPr>
              <w:t xml:space="preserve"> SJUT, tiang, kabel aktif, dan kabel bekas beserta pemiliknya), terintegrasi dengan portal geospasial Jakarta Satu dan RTRW; menjadi basis penyusunan rencana induk.</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Belum ada rencana induk; inventaris jaringan dan kabel bekas tidak tersedia.</w:t>
            </w:r>
          </w:p>
        </w:tc>
      </w:tr>
      <w:tr>
        <w:trPr>
          <w:cantSplit/>
        </w:trPr>
        <w:tc>
          <w:tcPr>
            <w:tcW w:type="dxa" w:w="20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2. Dasbor Kendali dan Peringatan Dini</w:t>
            </w:r>
          </w:p>
        </w:tc>
        <w:tc>
          <w:tcPr>
            <w:tcW w:type="dxa" w:w="41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Progres fisik setiap BUMD per ruas terhadap target (kurva-S), okupansi SJUT, indikator merah–kuning–hijau, serta alarm otomatis enam bulan sebelum regulasi atau izin berakhir.</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Tidak ada monev; regulasi habis tanpa evaluasi; pengawasan BUMD lemah.</w:t>
            </w:r>
          </w:p>
        </w:tc>
      </w:tr>
      <w:tr>
        <w:trPr>
          <w:cantSplit/>
        </w:trPr>
        <w:tc>
          <w:tcPr>
            <w:tcW w:type="dxa" w:w="20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3. Transparansi Tarif dan Layanan Operator</w:t>
            </w:r>
          </w:p>
        </w:tc>
        <w:tc>
          <w:tcPr>
            <w:tcW w:type="dxa" w:w="41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Publikasi formula tarif berbasis biaya, simulasi tarif, permohonan dan kontrak sewa </w:t>
            </w:r>
            <w:r>
              <w:rPr>
                <w:rFonts w:ascii="Arial" w:cs="Arial" w:eastAsia="Arial" w:hAnsi="Arial"/>
                <w:i/>
                <w:iCs/>
                <w:sz w:val="22"/>
                <w:szCs w:val="22"/>
                <w:lang w:val="id-ID"/>
              </w:rPr>
              <w:t xml:space="preserve">ducting</w:t>
            </w:r>
            <w:r>
              <w:rPr>
                <w:rFonts w:ascii="Arial" w:cs="Arial" w:eastAsia="Arial" w:hAnsi="Arial"/>
                <w:sz w:val="22"/>
                <w:szCs w:val="22"/>
                <w:lang w:val="id-ID"/>
              </w:rPr>
              <w:t xml:space="preserve"> secara elektronik, serta kanal keluhan tarif dengan batas waktu layanan.</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Tarif tidak transparan; keluhan tarif tidak tertangani; operator enggan bermigrasi.</w:t>
            </w:r>
          </w:p>
        </w:tc>
      </w:tr>
      <w:tr>
        <w:trPr>
          <w:cantSplit/>
        </w:trPr>
        <w:tc>
          <w:tcPr>
            <w:tcW w:type="dxa" w:w="20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4. Lapor Kabel (terintegrasi JAKI)</w:t>
            </w:r>
          </w:p>
        </w:tc>
        <w:tc>
          <w:tcPr>
            <w:tcW w:type="dxa" w:w="41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Warga melaporkan kabel menjuntai atau putus dengan foto dan titik lokasi; laporan otomatis diteruskan kepada pemilik jaringan dengan batas waktu penanganan dan statusnya dapat dipantau publik; data diolah menjadi peta titik rawan untuk patroli.</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Penanganan reaktif; kabel bekas membahayakan warga; kanal aduan tidak terhubung.</w:t>
            </w:r>
          </w:p>
        </w:tc>
      </w:tr>
      <w:tr>
        <w:trPr>
          <w:cantSplit/>
        </w:trPr>
        <w:tc>
          <w:tcPr>
            <w:tcW w:type="dxa" w:w="205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5. Kalender Galian Terpadu (</w:t>
            </w:r>
            <w:r>
              <w:rPr>
                <w:rFonts w:ascii="Arial" w:cs="Arial" w:eastAsia="Arial" w:hAnsi="Arial"/>
                <w:b/>
                <w:bCs/>
                <w:i/>
                <w:iCs/>
                <w:sz w:val="22"/>
                <w:szCs w:val="22"/>
                <w:lang w:val="id-ID"/>
              </w:rPr>
              <w:t xml:space="preserve">dig once</w:t>
            </w:r>
            <w:r>
              <w:rPr>
                <w:rFonts w:ascii="Arial" w:cs="Arial" w:eastAsia="Arial" w:hAnsi="Arial"/>
                <w:b/>
                <w:bCs/>
                <w:sz w:val="22"/>
                <w:szCs w:val="22"/>
                <w:lang w:val="id-ID"/>
              </w:rPr>
              <w:t xml:space="preserve">)</w:t>
            </w:r>
          </w:p>
        </w:tc>
        <w:tc>
          <w:tcPr>
            <w:tcW w:type="dxa" w:w="413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Menyinkronkan rencana galian utilitas dengan proyek jalan, trotoar, dan saluran air sehingga pemasangan </w:t>
            </w:r>
            <w:r>
              <w:rPr>
                <w:rFonts w:ascii="Arial" w:cs="Arial" w:eastAsia="Arial" w:hAnsi="Arial"/>
                <w:i/>
                <w:iCs/>
                <w:sz w:val="22"/>
                <w:szCs w:val="22"/>
                <w:lang w:val="id-ID"/>
              </w:rPr>
              <w:t xml:space="preserve">ducting</w:t>
            </w:r>
            <w:r>
              <w:rPr>
                <w:rFonts w:ascii="Arial" w:cs="Arial" w:eastAsia="Arial" w:hAnsi="Arial"/>
                <w:sz w:val="22"/>
                <w:szCs w:val="22"/>
                <w:lang w:val="id-ID"/>
              </w:rPr>
              <w:t xml:space="preserve"> SJUT dilakukan sekaligus.</w:t>
            </w:r>
          </w:p>
        </w:tc>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Galian berulang; biaya tinggi; koordinasi antarpemilik jaringan lemah.</w:t>
            </w:r>
          </w:p>
        </w:tc>
      </w:tr>
    </w:tbl>
    <w:p>
      <w:pPr>
        <w:spacing w:after="120" w:before="200" w:line="360"/>
        <w:jc w:val="both"/>
      </w:pPr>
      <w:r>
        <w:rPr>
          <w:rFonts w:ascii="Arial" w:cs="Arial" w:eastAsia="Arial" w:hAnsi="Arial"/>
          <w:b/>
          <w:bCs/>
          <w:sz w:val="24"/>
          <w:szCs w:val="24"/>
          <w:lang w:val="id-ID"/>
        </w:rPr>
        <w:t xml:space="preserve">Tata kelola.</w:t>
      </w:r>
      <w:r>
        <w:rPr>
          <w:rFonts w:ascii="Arial" w:cs="Arial" w:eastAsia="Arial" w:hAnsi="Arial"/>
          <w:sz w:val="24"/>
          <w:szCs w:val="24"/>
          <w:lang w:val="id-ID"/>
        </w:rPr>
        <w:t xml:space="preserve"> Dinas Bina Marga berperan sebagai pemilik proses (</w:t>
      </w:r>
      <w:r>
        <w:rPr>
          <w:rFonts w:ascii="Arial" w:cs="Arial" w:eastAsia="Arial" w:hAnsi="Arial"/>
          <w:i/>
          <w:iCs/>
          <w:sz w:val="24"/>
          <w:szCs w:val="24"/>
          <w:lang w:val="id-ID"/>
        </w:rPr>
        <w:t xml:space="preserve">process owner</w:t>
      </w:r>
      <w:r>
        <w:rPr>
          <w:rFonts w:ascii="Arial" w:cs="Arial" w:eastAsia="Arial" w:hAnsi="Arial"/>
          <w:sz w:val="24"/>
          <w:szCs w:val="24"/>
          <w:lang w:val="id-ID"/>
        </w:rPr>
        <w:t xml:space="preserve">) penataan jaringan utilitas; Dinas Komunikasi, Informatika dan Statistik bersama Jakarta Smart City sebagai pengelola teknis platform; Tim Akselerasi SJUT dan BP BUMD sebagai pengguna dasbor evaluasi; BUMD dan operator sebagai penyedia data; serta Komdigi dan masyarakat sebagai mitra. Kunci keberlangsungannya adalah prinsip </w:t>
      </w:r>
      <w:r>
        <w:rPr>
          <w:rFonts w:ascii="Arial" w:cs="Arial" w:eastAsia="Arial" w:hAnsi="Arial"/>
          <w:b/>
          <w:bCs/>
          <w:sz w:val="24"/>
          <w:szCs w:val="24"/>
          <w:lang w:val="id-ID"/>
        </w:rPr>
        <w:t xml:space="preserve">“data sebagai syarat izin”</w:t>
      </w:r>
      <w:r>
        <w:rPr>
          <w:rFonts w:ascii="Arial" w:cs="Arial" w:eastAsia="Arial" w:hAnsi="Arial"/>
          <w:sz w:val="24"/>
          <w:szCs w:val="24"/>
          <w:lang w:val="id-ID"/>
        </w:rPr>
        <w:t xml:space="preserve">: setiap izin galian, kontrak sewa </w:t>
      </w:r>
      <w:r>
        <w:rPr>
          <w:rFonts w:ascii="Arial" w:cs="Arial" w:eastAsia="Arial" w:hAnsi="Arial"/>
          <w:i/>
          <w:iCs/>
          <w:sz w:val="24"/>
          <w:szCs w:val="24"/>
          <w:lang w:val="id-ID"/>
        </w:rPr>
        <w:t xml:space="preserve">ducting</w:t>
      </w:r>
      <w:r>
        <w:rPr>
          <w:rFonts w:ascii="Arial" w:cs="Arial" w:eastAsia="Arial" w:hAnsi="Arial"/>
          <w:sz w:val="24"/>
          <w:szCs w:val="24"/>
          <w:lang w:val="id-ID"/>
        </w:rPr>
        <w:t xml:space="preserve">, dan perpanjangan izin mewajibkan pemutakhiran data di SIGAP-SJUT.</w:t>
      </w:r>
    </w:p>
    <w:p>
      <w:pPr>
        <w:pStyle w:val="Heading2"/>
      </w:pPr>
      <w:r>
        <w:rPr>
          <w:rFonts w:ascii="Arial" w:cs="Arial" w:eastAsia="Arial" w:hAnsi="Arial"/>
          <w:sz w:val="24"/>
          <w:szCs w:val="24"/>
          <w:lang w:val="id-ID"/>
        </w:rPr>
        <w:t xml:space="preserve">C.2 Pemenuhan Lima Kriteria Terobosan Inovatif</w:t>
      </w:r>
    </w:p>
    <w:p>
      <w:pPr>
        <w:pStyle w:val="Heading3"/>
      </w:pPr>
      <w:r>
        <w:rPr>
          <w:rFonts w:ascii="Arial" w:cs="Arial" w:eastAsia="Arial" w:hAnsi="Arial"/>
          <w:sz w:val="24"/>
          <w:szCs w:val="24"/>
          <w:lang w:val="id-ID"/>
        </w:rPr>
        <w:t xml:space="preserve">1) </w:t>
      </w:r>
      <w:r>
        <w:rPr>
          <w:rFonts w:ascii="Arial" w:cs="Arial" w:eastAsia="Arial" w:hAnsi="Arial"/>
          <w:i/>
          <w:iCs/>
          <w:sz w:val="24"/>
          <w:szCs w:val="24"/>
          <w:lang w:val="id-ID"/>
        </w:rPr>
        <w:t xml:space="preserve">Novelty</w:t>
      </w:r>
      <w:r>
        <w:rPr>
          <w:rFonts w:ascii="Arial" w:cs="Arial" w:eastAsia="Arial" w:hAnsi="Arial"/>
          <w:sz w:val="24"/>
          <w:szCs w:val="24"/>
          <w:lang w:val="id-ID"/>
        </w:rPr>
        <w:t xml:space="preserve"> (Kebaruan)</w:t>
      </w:r>
    </w:p>
    <w:p>
      <w:pPr>
        <w:spacing w:after="120" w:before="0" w:line="360"/>
        <w:jc w:val="both"/>
      </w:pPr>
      <w:r>
        <w:rPr>
          <w:rFonts w:ascii="Arial" w:cs="Arial" w:eastAsia="Arial" w:hAnsi="Arial"/>
          <w:sz w:val="24"/>
          <w:szCs w:val="24"/>
          <w:lang w:val="id-ID"/>
        </w:rPr>
        <w:t xml:space="preserve">SIGAP-SJUT memiliki unsur kebaruan pada tiga aspek. </w:t>
      </w:r>
      <w:r>
        <w:rPr>
          <w:rFonts w:ascii="Arial" w:cs="Arial" w:eastAsia="Arial" w:hAnsi="Arial"/>
          <w:b/>
          <w:bCs/>
          <w:sz w:val="24"/>
          <w:szCs w:val="24"/>
          <w:lang w:val="id-ID"/>
        </w:rPr>
        <w:t xml:space="preserve">Pertama, kebaruan paradigma</w:t>
      </w:r>
      <w:r>
        <w:rPr>
          <w:rFonts w:ascii="Arial" w:cs="Arial" w:eastAsia="Arial" w:hAnsi="Arial"/>
          <w:sz w:val="24"/>
          <w:szCs w:val="24"/>
          <w:lang w:val="id-ID"/>
        </w:rPr>
        <w:t xml:space="preserve">: pengelolaan SJUT bergeser dari berbasis dokumen dan reaktif menjadi berbasis data spasial dan proaktif melalui peringatan dini. </w:t>
      </w:r>
      <w:r>
        <w:rPr>
          <w:rFonts w:ascii="Arial" w:cs="Arial" w:eastAsia="Arial" w:hAnsi="Arial"/>
          <w:b/>
          <w:bCs/>
          <w:sz w:val="24"/>
          <w:szCs w:val="24"/>
          <w:lang w:val="id-ID"/>
        </w:rPr>
        <w:t xml:space="preserve">Kedua, kebaruan integrasi</w:t>
      </w:r>
      <w:r>
        <w:rPr>
          <w:rFonts w:ascii="Arial" w:cs="Arial" w:eastAsia="Arial" w:hAnsi="Arial"/>
          <w:sz w:val="24"/>
          <w:szCs w:val="24"/>
          <w:lang w:val="id-ID"/>
        </w:rPr>
        <w:t xml:space="preserve">: fungsi yang selama ini terpisah atau belum ada—peta jaringan termasuk kabel bekas, pengendalian progres BUMD, peringatan dini legalitas, transparansi tarif, dan pelaporan warga—untuk pertama kalinya disatukan dalam satu platform penyelenggaraan SJUT Jakarta. </w:t>
      </w:r>
      <w:r>
        <w:rPr>
          <w:rFonts w:ascii="Arial" w:cs="Arial" w:eastAsia="Arial" w:hAnsi="Arial"/>
          <w:b/>
          <w:bCs/>
          <w:sz w:val="24"/>
          <w:szCs w:val="24"/>
          <w:lang w:val="id-ID"/>
        </w:rPr>
        <w:t xml:space="preserve">Ketiga, kebaruan mekanisme</w:t>
      </w:r>
      <w:r>
        <w:rPr>
          <w:rFonts w:ascii="Arial" w:cs="Arial" w:eastAsia="Arial" w:hAnsi="Arial"/>
          <w:sz w:val="24"/>
          <w:szCs w:val="24"/>
          <w:lang w:val="id-ID"/>
        </w:rPr>
        <w:t xml:space="preserve">: prinsip “data sebagai syarat izin” dan “</w:t>
      </w:r>
      <w:r>
        <w:rPr>
          <w:rFonts w:ascii="Arial" w:cs="Arial" w:eastAsia="Arial" w:hAnsi="Arial"/>
          <w:i/>
          <w:iCs/>
          <w:sz w:val="24"/>
          <w:szCs w:val="24"/>
          <w:lang w:val="id-ID"/>
        </w:rPr>
        <w:t xml:space="preserve">dig once</w:t>
      </w:r>
      <w:r>
        <w:rPr>
          <w:rFonts w:ascii="Arial" w:cs="Arial" w:eastAsia="Arial" w:hAnsi="Arial"/>
          <w:sz w:val="24"/>
          <w:szCs w:val="24"/>
          <w:lang w:val="id-ID"/>
        </w:rPr>
        <w:t xml:space="preserve">” diadaptasi (ATM) dari praktik baik pengelolaan utilitas perkotaan, lalu disesuaikan dengan ekosistem digital Jakarta. SIGAP-SJUT bukan fotokopi cara lama, melainkan cara baru mengelola proyek utilitas kota.</w:t>
      </w:r>
    </w:p>
    <w:p>
      <w:pPr>
        <w:pStyle w:val="Heading3"/>
      </w:pPr>
      <w:r>
        <w:rPr>
          <w:rFonts w:ascii="Arial" w:cs="Arial" w:eastAsia="Arial" w:hAnsi="Arial"/>
          <w:sz w:val="24"/>
          <w:szCs w:val="24"/>
          <w:lang w:val="id-ID"/>
        </w:rPr>
        <w:t xml:space="preserve">2) </w:t>
      </w:r>
      <w:r>
        <w:rPr>
          <w:rFonts w:ascii="Arial" w:cs="Arial" w:eastAsia="Arial" w:hAnsi="Arial"/>
          <w:i/>
          <w:iCs/>
          <w:sz w:val="24"/>
          <w:szCs w:val="24"/>
          <w:lang w:val="id-ID"/>
        </w:rPr>
        <w:t xml:space="preserve">Added Value</w:t>
      </w:r>
      <w:r>
        <w:rPr>
          <w:rFonts w:ascii="Arial" w:cs="Arial" w:eastAsia="Arial" w:hAnsi="Arial"/>
          <w:sz w:val="24"/>
          <w:szCs w:val="24"/>
          <w:lang w:val="id-ID"/>
        </w:rPr>
        <w:t xml:space="preserve"> (Nilai Tambah)</w:t>
      </w:r>
    </w:p>
    <w:p>
      <w:pPr>
        <w:spacing w:after="120" w:before="0" w:line="360"/>
        <w:jc w:val="both"/>
      </w:pPr>
      <w:r>
        <w:rPr>
          <w:rFonts w:ascii="Arial" w:cs="Arial" w:eastAsia="Arial" w:hAnsi="Arial"/>
          <w:sz w:val="24"/>
          <w:szCs w:val="24"/>
          <w:lang w:val="id-ID"/>
        </w:rPr>
        <w:t xml:space="preserve">SIGAP-SJUT memberi nilai tambah nyata bagi setiap pemangku kepentingan (Tabel 7).</w:t>
      </w:r>
    </w:p>
    <w:p>
      <w:pPr>
        <w:keepNext/>
        <w:spacing w:after="80" w:before="120" w:line="276"/>
        <w:jc w:val="center"/>
      </w:pPr>
      <w:r>
        <w:rPr>
          <w:rFonts w:ascii="Arial" w:cs="Arial" w:eastAsia="Arial" w:hAnsi="Arial"/>
          <w:b/>
          <w:bCs/>
          <w:sz w:val="22"/>
          <w:szCs w:val="22"/>
          <w:lang w:val="id-ID"/>
        </w:rPr>
        <w:t xml:space="preserve">Tabel 7. Nilai Tambah SIGAP-SJUT bagi Pemangku Kepentingan</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187"/>
      </w:tblGrid>
      <w:tr>
        <w:trPr>
          <w:cantSplit/>
          <w:tblHeader/>
        </w:trPr>
        <w:tc>
          <w:tcPr>
            <w:tcW w:type="dxa" w:w="26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Pemangku Kepentingan</w:t>
            </w:r>
          </w:p>
        </w:tc>
        <w:tc>
          <w:tcPr>
            <w:tcW w:type="dxa" w:w="618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Nilai Tambah</w:t>
            </w:r>
          </w:p>
        </w:tc>
      </w:tr>
      <w:tr>
        <w:trPr>
          <w:cantSplit/>
        </w:trPr>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Pemprov DKI Jakarta</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Kendali progres secara </w:t>
            </w:r>
            <w:r>
              <w:rPr>
                <w:rFonts w:ascii="Arial" w:cs="Arial" w:eastAsia="Arial" w:hAnsi="Arial"/>
                <w:i/>
                <w:iCs/>
                <w:sz w:val="22"/>
                <w:szCs w:val="22"/>
                <w:lang w:val="id-ID"/>
              </w:rPr>
              <w:t xml:space="preserve">real-time</w:t>
            </w:r>
            <w:r>
              <w:rPr>
                <w:rFonts w:ascii="Arial" w:cs="Arial" w:eastAsia="Arial" w:hAnsi="Arial"/>
                <w:sz w:val="22"/>
                <w:szCs w:val="22"/>
                <w:lang w:val="id-ID"/>
              </w:rPr>
              <w:t xml:space="preserve">; keputusan berbasis bukti untuk evaluasi BUMD, rencana induk, dan regulasi; tidak ada lagi regulasi yang berakhir tanpa evaluasi; efisiensi anggaran karena galian berulang berkurang.</w:t>
            </w:r>
          </w:p>
        </w:tc>
      </w:tr>
      <w:tr>
        <w:trPr>
          <w:cantSplit/>
        </w:trPr>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BUMD pelaksana</w:t>
            </w:r>
            <w:r>
              <w:rPr>
                <w:rFonts w:ascii="Arial" w:cs="Arial" w:eastAsia="Arial" w:hAnsi="Arial"/>
                <w:sz w:val="22"/>
                <w:szCs w:val="22"/>
                <w:lang w:val="id-ID"/>
              </w:rPr>
              <w:t xml:space="preserve"> (PT Jakpro dan Perumda Pembangunan Sarana Jaya)</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Kepastian perencanaan investasi karena ruas prioritas dan calon penyewa terpetakan; kinerja terukur dan dapat dipertanggungjawabkan.</w:t>
            </w:r>
          </w:p>
        </w:tc>
      </w:tr>
      <w:tr>
        <w:trPr>
          <w:cantSplit/>
        </w:trPr>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Operator jaringan</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Kepastian tarif yang terbuka, layanan permohonan dan kontrak yang cepat, serta jadwal galian yang terkoordinasi.</w:t>
            </w:r>
          </w:p>
        </w:tc>
      </w:tr>
      <w:tr>
        <w:trPr>
          <w:cantSplit/>
        </w:trPr>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Masyarakat</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Keselamatan meningkat karena kabel berbahaya cepat ditangani; kota lebih tertib dan estetis; informasi progres dapat diakses publik.</w:t>
            </w:r>
          </w:p>
        </w:tc>
      </w:tr>
      <w:tr>
        <w:trPr>
          <w:cantSplit/>
        </w:trPr>
        <w:tc>
          <w:tcPr>
            <w:tcW w:type="dxa" w:w="26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Pemerintah pusat (Komdigi)</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Data lapangan untuk menyusun panduan teknis SJUT dan regulasi nasional pengelolaan kabel bekas sebagaimana direkomendasikan Ombudsman.</w:t>
            </w:r>
          </w:p>
        </w:tc>
      </w:tr>
    </w:tbl>
    <w:p>
      <w:pPr>
        <w:pStyle w:val="Heading3"/>
      </w:pPr>
      <w:r>
        <w:rPr>
          <w:rFonts w:ascii="Arial" w:cs="Arial" w:eastAsia="Arial" w:hAnsi="Arial"/>
          <w:sz w:val="24"/>
          <w:szCs w:val="24"/>
          <w:lang w:val="id-ID"/>
        </w:rPr>
        <w:t xml:space="preserve">3) </w:t>
      </w:r>
      <w:r>
        <w:rPr>
          <w:rFonts w:ascii="Arial" w:cs="Arial" w:eastAsia="Arial" w:hAnsi="Arial"/>
          <w:i/>
          <w:iCs/>
          <w:sz w:val="24"/>
          <w:szCs w:val="24"/>
          <w:lang w:val="id-ID"/>
        </w:rPr>
        <w:t xml:space="preserve">Replicable</w:t>
      </w:r>
      <w:r>
        <w:rPr>
          <w:rFonts w:ascii="Arial" w:cs="Arial" w:eastAsia="Arial" w:hAnsi="Arial"/>
          <w:sz w:val="24"/>
          <w:szCs w:val="24"/>
          <w:lang w:val="id-ID"/>
        </w:rPr>
        <w:t xml:space="preserve"> (Dapat Direplikasi)</w:t>
      </w:r>
    </w:p>
    <w:p>
      <w:pPr>
        <w:keepNext/>
        <w:spacing w:after="60" w:before="0" w:line="360"/>
        <w:jc w:val="both"/>
      </w:pPr>
      <w:r>
        <w:rPr>
          <w:rFonts w:ascii="Arial" w:cs="Arial" w:eastAsia="Arial" w:hAnsi="Arial"/>
          <w:sz w:val="24"/>
          <w:szCs w:val="24"/>
          <w:lang w:val="id-ID"/>
        </w:rPr>
        <w:t xml:space="preserve">SIGAP-SJUT dirancang modular dengan standar data terbuka sehingga mudah direplikasi:</w:t>
      </w:r>
    </w:p>
    <w:p>
      <w:pPr>
        <w:pStyle w:val="ListParagraph"/>
        <w:numPr>
          <w:ilvl w:val="0"/>
          <w:numId w:val="6"/>
        </w:numPr>
        <w:spacing w:after="60" w:before="0" w:line="360"/>
        <w:jc w:val="both"/>
      </w:pPr>
      <w:r>
        <w:rPr>
          <w:rFonts w:ascii="Arial" w:cs="Arial" w:eastAsia="Arial" w:hAnsi="Arial"/>
          <w:b/>
          <w:bCs/>
          <w:sz w:val="24"/>
          <w:szCs w:val="24"/>
          <w:lang w:val="id-ID"/>
        </w:rPr>
        <w:t xml:space="preserve">Antarwilayah</w:t>
      </w:r>
      <w:r>
        <w:rPr>
          <w:rFonts w:ascii="Arial" w:cs="Arial" w:eastAsia="Arial" w:hAnsi="Arial"/>
          <w:sz w:val="24"/>
          <w:szCs w:val="24"/>
          <w:lang w:val="id-ID"/>
        </w:rPr>
        <w:t xml:space="preserve">: dapat diterapkan di kota besar lain yang menghadapi kesemrawutan kabel udara.</w:t>
      </w:r>
    </w:p>
    <w:p>
      <w:pPr>
        <w:pStyle w:val="ListParagraph"/>
        <w:numPr>
          <w:ilvl w:val="0"/>
          <w:numId w:val="6"/>
        </w:numPr>
        <w:spacing w:after="60" w:before="0" w:line="360"/>
        <w:jc w:val="both"/>
      </w:pPr>
      <w:r>
        <w:rPr>
          <w:rFonts w:ascii="Arial" w:cs="Arial" w:eastAsia="Arial" w:hAnsi="Arial"/>
          <w:b/>
          <w:bCs/>
          <w:sz w:val="24"/>
          <w:szCs w:val="24"/>
          <w:lang w:val="id-ID"/>
        </w:rPr>
        <w:t xml:space="preserve">Antarsektor</w:t>
      </w:r>
      <w:r>
        <w:rPr>
          <w:rFonts w:ascii="Arial" w:cs="Arial" w:eastAsia="Arial" w:hAnsi="Arial"/>
          <w:sz w:val="24"/>
          <w:szCs w:val="24"/>
          <w:lang w:val="id-ID"/>
        </w:rPr>
        <w:t xml:space="preserve">: modul yang sama dapat dipakai untuk jaringan air minum, listrik, gas, dan drainase.</w:t>
      </w:r>
    </w:p>
    <w:p>
      <w:pPr>
        <w:pStyle w:val="ListParagraph"/>
        <w:numPr>
          <w:ilvl w:val="0"/>
          <w:numId w:val="6"/>
        </w:numPr>
        <w:spacing w:after="60" w:before="0" w:line="360"/>
        <w:jc w:val="both"/>
      </w:pPr>
      <w:r>
        <w:rPr>
          <w:rFonts w:ascii="Arial" w:cs="Arial" w:eastAsia="Arial" w:hAnsi="Arial"/>
          <w:b/>
          <w:bCs/>
          <w:sz w:val="24"/>
          <w:szCs w:val="24"/>
          <w:lang w:val="id-ID"/>
        </w:rPr>
        <w:t xml:space="preserve">Antarjenjang</w:t>
      </w:r>
      <w:r>
        <w:rPr>
          <w:rFonts w:ascii="Arial" w:cs="Arial" w:eastAsia="Arial" w:hAnsi="Arial"/>
          <w:sz w:val="24"/>
          <w:szCs w:val="24"/>
          <w:lang w:val="id-ID"/>
        </w:rPr>
        <w:t xml:space="preserve">: menjadi model rujukan bagi Komdigi dalam menyusun panduan teknis SJUT nasional.</w:t>
      </w:r>
    </w:p>
    <w:p>
      <w:pPr>
        <w:spacing w:after="120" w:before="60" w:line="360"/>
        <w:jc w:val="both"/>
      </w:pPr>
      <w:r>
        <w:rPr>
          <w:rFonts w:ascii="Arial" w:cs="Arial" w:eastAsia="Arial" w:hAnsi="Arial"/>
          <w:sz w:val="24"/>
          <w:szCs w:val="24"/>
          <w:lang w:val="id-ID"/>
        </w:rPr>
        <w:t xml:space="preserve">Replikasi dipermudah dengan paket replikasi berisi SOP, kamus data, modul pelatihan, dan kode sumber milik pemerintah, serta dapat disebarluaskan melalui forum inovasi pelayanan publik seperti Kompetisi Inovasi Pelayanan Publik (KIPP) KemenPAN-RB.</w:t>
      </w:r>
    </w:p>
    <w:p>
      <w:pPr>
        <w:pStyle w:val="Heading3"/>
      </w:pPr>
      <w:r>
        <w:rPr>
          <w:rFonts w:ascii="Arial" w:cs="Arial" w:eastAsia="Arial" w:hAnsi="Arial"/>
          <w:sz w:val="24"/>
          <w:szCs w:val="24"/>
          <w:lang w:val="id-ID"/>
        </w:rPr>
        <w:t xml:space="preserve">4) </w:t>
      </w:r>
      <w:r>
        <w:rPr>
          <w:rFonts w:ascii="Arial" w:cs="Arial" w:eastAsia="Arial" w:hAnsi="Arial"/>
          <w:i/>
          <w:iCs/>
          <w:sz w:val="24"/>
          <w:szCs w:val="24"/>
          <w:lang w:val="id-ID"/>
        </w:rPr>
        <w:t xml:space="preserve">Sustainability</w:t>
      </w:r>
      <w:r>
        <w:rPr>
          <w:rFonts w:ascii="Arial" w:cs="Arial" w:eastAsia="Arial" w:hAnsi="Arial"/>
          <w:sz w:val="24"/>
          <w:szCs w:val="24"/>
          <w:lang w:val="id-ID"/>
        </w:rPr>
        <w:t xml:space="preserve"> (Berkelanjutan)</w:t>
      </w:r>
    </w:p>
    <w:p>
      <w:pPr>
        <w:keepNext/>
        <w:spacing w:after="60" w:before="0" w:line="360"/>
        <w:jc w:val="both"/>
      </w:pPr>
      <w:r>
        <w:rPr>
          <w:rFonts w:ascii="Arial" w:cs="Arial" w:eastAsia="Arial" w:hAnsi="Arial"/>
          <w:sz w:val="24"/>
          <w:szCs w:val="24"/>
          <w:lang w:val="id-ID"/>
        </w:rPr>
        <w:t xml:space="preserve">Keberlanjutan SIGAP-SJUT ditopang oleh enam pilar:</w:t>
      </w:r>
    </w:p>
    <w:p>
      <w:pPr>
        <w:pStyle w:val="ListParagraph"/>
        <w:numPr>
          <w:ilvl w:val="0"/>
          <w:numId w:val="5"/>
        </w:numPr>
        <w:spacing w:after="60" w:before="0" w:line="360"/>
        <w:jc w:val="both"/>
      </w:pPr>
      <w:r>
        <w:rPr>
          <w:rFonts w:ascii="Arial" w:cs="Arial" w:eastAsia="Arial" w:hAnsi="Arial"/>
          <w:b/>
          <w:bCs/>
          <w:sz w:val="24"/>
          <w:szCs w:val="24"/>
          <w:lang w:val="id-ID"/>
        </w:rPr>
        <w:t xml:space="preserve">Regulasi</w:t>
      </w:r>
      <w:r>
        <w:rPr>
          <w:rFonts w:ascii="Arial" w:cs="Arial" w:eastAsia="Arial" w:hAnsi="Arial"/>
          <w:sz w:val="24"/>
          <w:szCs w:val="24"/>
          <w:lang w:val="id-ID"/>
        </w:rPr>
        <w:t xml:space="preserve">: penggunaan SIGAP-SJUT diwajibkan dalam Pergub SJUT dan rencana induk yang terintegrasi dengan RPJMD dan RTRW, sehingga tidak bergantung pada pejabat tertentu.</w:t>
      </w:r>
    </w:p>
    <w:p>
      <w:pPr>
        <w:pStyle w:val="ListParagraph"/>
        <w:numPr>
          <w:ilvl w:val="0"/>
          <w:numId w:val="5"/>
        </w:numPr>
        <w:spacing w:after="60" w:before="0" w:line="360"/>
        <w:jc w:val="both"/>
      </w:pPr>
      <w:r>
        <w:rPr>
          <w:rFonts w:ascii="Arial" w:cs="Arial" w:eastAsia="Arial" w:hAnsi="Arial"/>
          <w:b/>
          <w:bCs/>
          <w:sz w:val="24"/>
          <w:szCs w:val="24"/>
          <w:lang w:val="id-ID"/>
        </w:rPr>
        <w:t xml:space="preserve">Kelembagaan</w:t>
      </w:r>
      <w:r>
        <w:rPr>
          <w:rFonts w:ascii="Arial" w:cs="Arial" w:eastAsia="Arial" w:hAnsi="Arial"/>
          <w:sz w:val="24"/>
          <w:szCs w:val="24"/>
          <w:lang w:val="id-ID"/>
        </w:rPr>
        <w:t xml:space="preserve">: pemilik proses, SOP, dan standar layanan jelas; indikatornya masuk ke dalam indikator kinerja perangkat daerah dan KPI direksi BUMD.</w:t>
      </w:r>
    </w:p>
    <w:p>
      <w:pPr>
        <w:pStyle w:val="ListParagraph"/>
        <w:numPr>
          <w:ilvl w:val="0"/>
          <w:numId w:val="5"/>
        </w:numPr>
        <w:spacing w:after="60" w:before="0" w:line="360"/>
        <w:jc w:val="both"/>
      </w:pPr>
      <w:r>
        <w:rPr>
          <w:rFonts w:ascii="Arial" w:cs="Arial" w:eastAsia="Arial" w:hAnsi="Arial"/>
          <w:b/>
          <w:bCs/>
          <w:sz w:val="24"/>
          <w:szCs w:val="24"/>
          <w:lang w:val="id-ID"/>
        </w:rPr>
        <w:t xml:space="preserve">Data</w:t>
      </w:r>
      <w:r>
        <w:rPr>
          <w:rFonts w:ascii="Arial" w:cs="Arial" w:eastAsia="Arial" w:hAnsi="Arial"/>
          <w:sz w:val="24"/>
          <w:szCs w:val="24"/>
          <w:lang w:val="id-ID"/>
        </w:rPr>
        <w:t xml:space="preserve">: pemutakhiran data melekat pada perizinan sehingga data selalu terbarui tanpa proyek pendataan ulang.</w:t>
      </w:r>
    </w:p>
    <w:p>
      <w:pPr>
        <w:pStyle w:val="ListParagraph"/>
        <w:numPr>
          <w:ilvl w:val="0"/>
          <w:numId w:val="5"/>
        </w:numPr>
        <w:spacing w:after="60" w:before="0" w:line="360"/>
        <w:jc w:val="both"/>
      </w:pPr>
      <w:r>
        <w:rPr>
          <w:rFonts w:ascii="Arial" w:cs="Arial" w:eastAsia="Arial" w:hAnsi="Arial"/>
          <w:b/>
          <w:bCs/>
          <w:sz w:val="24"/>
          <w:szCs w:val="24"/>
          <w:lang w:val="id-ID"/>
        </w:rPr>
        <w:t xml:space="preserve">Pembiayaan</w:t>
      </w:r>
      <w:r>
        <w:rPr>
          <w:rFonts w:ascii="Arial" w:cs="Arial" w:eastAsia="Arial" w:hAnsi="Arial"/>
          <w:sz w:val="24"/>
          <w:szCs w:val="24"/>
          <w:lang w:val="id-ID"/>
        </w:rPr>
        <w:t xml:space="preserve">: biaya operasional dianggarkan dalam APBD perangkat daerah terkait dan dapat didukung oleh komponen biaya pengelolaan dalam tarif sewa SJUT.</w:t>
      </w:r>
    </w:p>
    <w:p>
      <w:pPr>
        <w:pStyle w:val="ListParagraph"/>
        <w:numPr>
          <w:ilvl w:val="0"/>
          <w:numId w:val="5"/>
        </w:numPr>
        <w:spacing w:after="60" w:before="0" w:line="360"/>
        <w:jc w:val="both"/>
      </w:pPr>
      <w:r>
        <w:rPr>
          <w:rFonts w:ascii="Arial" w:cs="Arial" w:eastAsia="Arial" w:hAnsi="Arial"/>
          <w:b/>
          <w:bCs/>
          <w:sz w:val="24"/>
          <w:szCs w:val="24"/>
          <w:lang w:val="id-ID"/>
        </w:rPr>
        <w:t xml:space="preserve">SDM</w:t>
      </w:r>
      <w:r>
        <w:rPr>
          <w:rFonts w:ascii="Arial" w:cs="Arial" w:eastAsia="Arial" w:hAnsi="Arial"/>
          <w:sz w:val="24"/>
          <w:szCs w:val="24"/>
          <w:lang w:val="id-ID"/>
        </w:rPr>
        <w:t xml:space="preserve">: pelatihan berkala (SIG, manajemen proyek, analitik data) dan manajemen pengetahuan agar sistem tidak bergantung pada individu.</w:t>
      </w:r>
    </w:p>
    <w:p>
      <w:pPr>
        <w:pStyle w:val="ListParagraph"/>
        <w:numPr>
          <w:ilvl w:val="0"/>
          <w:numId w:val="5"/>
        </w:numPr>
        <w:spacing w:after="60" w:before="0" w:line="360"/>
        <w:jc w:val="both"/>
      </w:pPr>
      <w:r>
        <w:rPr>
          <w:rFonts w:ascii="Arial" w:cs="Arial" w:eastAsia="Arial" w:hAnsi="Arial"/>
          <w:b/>
          <w:bCs/>
          <w:sz w:val="24"/>
          <w:szCs w:val="24"/>
          <w:lang w:val="id-ID"/>
        </w:rPr>
        <w:t xml:space="preserve">Lingkungan</w:t>
      </w:r>
      <w:r>
        <w:rPr>
          <w:rFonts w:ascii="Arial" w:cs="Arial" w:eastAsia="Arial" w:hAnsi="Arial"/>
          <w:sz w:val="24"/>
          <w:szCs w:val="24"/>
          <w:lang w:val="id-ID"/>
        </w:rPr>
        <w:t xml:space="preserve">: kabel bekas dikelola secara sirkular, mendukung SDGs 9 (infrastruktur tangguh) dan 11 (kota berkelanjutan).</w:t>
      </w:r>
    </w:p>
    <w:p>
      <w:pPr>
        <w:pStyle w:val="Heading3"/>
      </w:pPr>
      <w:r>
        <w:rPr>
          <w:rFonts w:ascii="Arial" w:cs="Arial" w:eastAsia="Arial" w:hAnsi="Arial"/>
          <w:sz w:val="24"/>
          <w:szCs w:val="24"/>
          <w:lang w:val="id-ID"/>
        </w:rPr>
        <w:t xml:space="preserve">5) </w:t>
      </w:r>
      <w:r>
        <w:rPr>
          <w:rFonts w:ascii="Arial" w:cs="Arial" w:eastAsia="Arial" w:hAnsi="Arial"/>
          <w:i/>
          <w:iCs/>
          <w:sz w:val="24"/>
          <w:szCs w:val="24"/>
          <w:lang w:val="id-ID"/>
        </w:rPr>
        <w:t xml:space="preserve">Organization Value</w:t>
      </w:r>
      <w:r>
        <w:rPr>
          <w:rFonts w:ascii="Arial" w:cs="Arial" w:eastAsia="Arial" w:hAnsi="Arial"/>
          <w:sz w:val="24"/>
          <w:szCs w:val="24"/>
          <w:lang w:val="id-ID"/>
        </w:rPr>
        <w:t xml:space="preserve"> (Selaras dengan Nilai BerAKHLAK)</w:t>
      </w:r>
    </w:p>
    <w:p>
      <w:pPr>
        <w:spacing w:after="120" w:before="0" w:line="360"/>
        <w:jc w:val="both"/>
      </w:pPr>
      <w:r>
        <w:rPr>
          <w:rFonts w:ascii="Arial" w:cs="Arial" w:eastAsia="Arial" w:hAnsi="Arial"/>
          <w:sz w:val="24"/>
          <w:szCs w:val="24"/>
          <w:lang w:val="id-ID"/>
        </w:rPr>
        <w:t xml:space="preserve">SIGAP-SJUT selaras dengan nilai dasar ASN BerAKHLAK sebagaimana diatur dalam UU Nomor 20 Tahun 2023 tentang ASN (Tabel 8).</w:t>
      </w:r>
    </w:p>
    <w:p>
      <w:pPr>
        <w:keepNext/>
        <w:spacing w:after="80" w:before="120" w:line="276"/>
        <w:jc w:val="center"/>
      </w:pPr>
      <w:r>
        <w:rPr>
          <w:rFonts w:ascii="Arial" w:cs="Arial" w:eastAsia="Arial" w:hAnsi="Arial"/>
          <w:b/>
          <w:bCs/>
          <w:sz w:val="22"/>
          <w:szCs w:val="22"/>
          <w:lang w:val="id-ID"/>
        </w:rPr>
        <w:t xml:space="preserve">Tabel 8. Keselarasan SIGAP-SJUT dengan Nilai BerAKHLAK</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0"/>
        <w:gridCol w:w="6487"/>
      </w:tblGrid>
      <w:tr>
        <w:trPr>
          <w:cantSplit/>
          <w:tblHeader/>
        </w:trPr>
        <w:tc>
          <w:tcPr>
            <w:tcW w:type="dxa" w:w="23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Nilai BerAKHLAK</w:t>
            </w:r>
          </w:p>
        </w:tc>
        <w:tc>
          <w:tcPr>
            <w:tcW w:type="dxa" w:w="648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Wujud dalam SIGAP-SJUT</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Berorientasi Pelayanan</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Keselamatan warga menjadi prioritas; “Lapor Kabel” dengan batas waktu penanganan; layanan operator yang cepat dan pasti.</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Akuntabel</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Progres, tarif, dan tindak lanjut aduan terbuka serta terekam jejaknya; kinerja BUMD dievaluasi berbasis data; temuan Ombudsman ditindaklanjuti secara terukur.</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Kompeten</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Keputusan berbasis data geospasial; kompetensi aparatur ditingkatkan di bidang SIG, manajemen proyek, dan analitik.</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Harmonis</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Menjembatani kepentingan Pemprov, BUMD, operator, dan warga; mengurangi konflik tarif dan galian.</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Loyal</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Mendukung visi Jakarta sebagai kota global dan program prioritas daerah; menjaga nama baik serta kepercayaan publik terhadap Pemprov.</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Adaptif</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Transformasi digital tata kelola utilitas; siap menampung kebutuhan jaringan baru (serat optik, 5G, IoT); peringatan dini memungkinkan respons cepat.</w:t>
            </w:r>
          </w:p>
        </w:tc>
      </w:tr>
      <w:tr>
        <w:trPr>
          <w:cantSplit/>
        </w:trPr>
        <w:tc>
          <w:tcPr>
            <w:tcW w:type="dxa" w:w="23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Kolaboratif</w:t>
            </w:r>
          </w:p>
        </w:tc>
        <w:tc>
          <w:tcPr>
            <w:tcW w:type="dxa" w:w="64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Satu platform bersama lintas perangkat daerah, BUMD, operator (APJATEL), PLN, Komdigi, dan masyarakat.</w:t>
            </w:r>
          </w:p>
        </w:tc>
      </w:tr>
    </w:tbl>
    <w:p>
      <w:pPr>
        <w:pStyle w:val="Heading2"/>
      </w:pPr>
      <w:r>
        <w:rPr>
          <w:rFonts w:ascii="Arial" w:cs="Arial" w:eastAsia="Arial" w:hAnsi="Arial"/>
          <w:sz w:val="24"/>
          <w:szCs w:val="24"/>
          <w:lang w:val="id-ID"/>
        </w:rPr>
        <w:t xml:space="preserve">C.3 Tahapan Implementasi dan Indikator Keberhasilan</w:t>
      </w:r>
    </w:p>
    <w:p>
      <w:pPr>
        <w:spacing w:after="120" w:before="0" w:line="360"/>
        <w:jc w:val="both"/>
      </w:pPr>
      <w:r>
        <w:rPr>
          <w:rFonts w:ascii="Arial" w:cs="Arial" w:eastAsia="Arial" w:hAnsi="Arial"/>
          <w:sz w:val="24"/>
          <w:szCs w:val="24"/>
          <w:lang w:val="id-ID"/>
        </w:rPr>
        <w:t xml:space="preserve">Agar tidak berhenti sebagai gagasan, SIGAP-SJUT dilaksanakan secara bertahap (Tabel 9).</w:t>
      </w:r>
    </w:p>
    <w:p>
      <w:pPr>
        <w:keepNext/>
        <w:spacing w:after="80" w:before="120" w:line="276"/>
        <w:jc w:val="center"/>
      </w:pPr>
      <w:r>
        <w:rPr>
          <w:rFonts w:ascii="Arial" w:cs="Arial" w:eastAsia="Arial" w:hAnsi="Arial"/>
          <w:b/>
          <w:bCs/>
          <w:sz w:val="22"/>
          <w:szCs w:val="22"/>
          <w:lang w:val="id-ID"/>
        </w:rPr>
        <w:t xml:space="preserve">Tabel 9. Tahapan Implementasi dan Indikator Keberhasilan</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900"/>
        <w:gridCol w:w="2987"/>
      </w:tblGrid>
      <w:tr>
        <w:trPr>
          <w:cantSplit/>
          <w:tblHeader/>
        </w:trPr>
        <w:tc>
          <w:tcPr>
            <w:tcW w:type="dxa" w:w="19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Tahap</w:t>
            </w:r>
          </w:p>
        </w:tc>
        <w:tc>
          <w:tcPr>
            <w:tcW w:type="dxa" w:w="3900"/>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Kegiatan Utama</w:t>
            </w:r>
          </w:p>
        </w:tc>
        <w:tc>
          <w:tcPr>
            <w:tcW w:type="dxa" w:w="2987"/>
            <w:shd w:fill="D9E2F3" w:color="auto" w:val="clear"/>
            <w:tcMar>
              <w:top w:type="dxa" w:w="40"/>
              <w:left w:type="dxa" w:w="90"/>
              <w:bottom w:type="dxa" w:w="40"/>
              <w:right w:type="dxa" w:w="90"/>
            </w:tcMar>
            <w:vAlign w:val="center"/>
          </w:tcPr>
          <w:p>
            <w:pPr>
              <w:spacing w:after="40" w:before="40" w:line="240"/>
              <w:jc w:val="center"/>
            </w:pPr>
            <w:r>
              <w:rPr>
                <w:rFonts w:ascii="Arial" w:cs="Arial" w:eastAsia="Arial" w:hAnsi="Arial"/>
                <w:b/>
                <w:bCs/>
                <w:sz w:val="22"/>
                <w:szCs w:val="22"/>
                <w:lang w:val="id-ID"/>
              </w:rPr>
              <w:t xml:space="preserve">Indikator Keberhasilan</w:t>
            </w:r>
          </w:p>
        </w:tc>
      </w:tr>
      <w:tr>
        <w:trPr>
          <w:cantSplit/>
        </w:trPr>
        <w:tc>
          <w:tcPr>
            <w:tcW w:type="dxa" w:w="19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Jangka pendek</w:t>
            </w:r>
            <w:r>
              <w:rPr>
                <w:rFonts w:ascii="Arial" w:cs="Arial" w:eastAsia="Arial" w:hAnsi="Arial"/>
                <w:sz w:val="22"/>
                <w:szCs w:val="22"/>
                <w:lang w:val="id-ID"/>
              </w:rPr>
              <w:t xml:space="preserve"> (0–3 bulan): </w:t>
            </w:r>
            <w:r>
              <w:rPr>
                <w:rFonts w:ascii="Arial" w:cs="Arial" w:eastAsia="Arial" w:hAnsi="Arial"/>
                <w:i/>
                <w:iCs/>
                <w:sz w:val="22"/>
                <w:szCs w:val="22"/>
                <w:lang w:val="id-ID"/>
              </w:rPr>
              <w:t xml:space="preserve">quick wins</w:t>
            </w:r>
          </w:p>
        </w:tc>
        <w:tc>
          <w:tcPr>
            <w:tcW w:type="dxa" w:w="39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Penetapan Tim Akselerasi; audit progres kedua BUMD; dasbor progres versi awal dari data yang ada; kategori “Lapor Kabel” di JAKI.</w:t>
            </w:r>
          </w:p>
        </w:tc>
        <w:tc>
          <w:tcPr>
            <w:tcW w:type="dxa" w:w="29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100% ruas penugasan tampil di dasbor; laporan kabel berbahaya ditangani ≤ 1×24 jam.</w:t>
            </w:r>
          </w:p>
        </w:tc>
      </w:tr>
      <w:tr>
        <w:trPr>
          <w:cantSplit/>
        </w:trPr>
        <w:tc>
          <w:tcPr>
            <w:tcW w:type="dxa" w:w="19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Jangka menengah</w:t>
            </w:r>
            <w:r>
              <w:rPr>
                <w:rFonts w:ascii="Arial" w:cs="Arial" w:eastAsia="Arial" w:hAnsi="Arial"/>
                <w:sz w:val="22"/>
                <w:szCs w:val="22"/>
                <w:lang w:val="id-ID"/>
              </w:rPr>
              <w:t xml:space="preserve"> (4–12 bulan)</w:t>
            </w:r>
          </w:p>
        </w:tc>
        <w:tc>
          <w:tcPr>
            <w:tcW w:type="dxa" w:w="39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Pemetaan digital utilitas di ruas prioritas; integrasi dengan Jakarta Satu; modul tarif dan kontrak elektronik; kalender galian terpadu; Pergub dan rencana induk mewajibkan SIGAP-SJUT.</w:t>
            </w:r>
          </w:p>
        </w:tc>
        <w:tc>
          <w:tcPr>
            <w:tcW w:type="dxa" w:w="29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Rencana induk ditetapkan; progres per ruas terpantau bulanan; tarif dipublikasikan; keluhan tarif menurun.</w:t>
            </w:r>
          </w:p>
        </w:tc>
      </w:tr>
      <w:tr>
        <w:trPr>
          <w:cantSplit/>
        </w:trPr>
        <w:tc>
          <w:tcPr>
            <w:tcW w:type="dxa" w:w="1900"/>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Jangka panjang</w:t>
            </w:r>
            <w:r>
              <w:rPr>
                <w:rFonts w:ascii="Arial" w:cs="Arial" w:eastAsia="Arial" w:hAnsi="Arial"/>
                <w:sz w:val="22"/>
                <w:szCs w:val="22"/>
                <w:lang w:val="id-ID"/>
              </w:rPr>
              <w:t xml:space="preserve"> (&gt; 12 bulan)</w:t>
            </w:r>
          </w:p>
        </w:tc>
        <w:tc>
          <w:tcPr>
            <w:tcW w:type="dxa" w:w="3900"/>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Perluasan ke seluruh wilayah dan sektor utilitas lain; analitik prediktif titik rawan; paket replikasi untuk daerah lain dan Komdigi.</w:t>
            </w:r>
          </w:p>
        </w:tc>
        <w:tc>
          <w:tcPr>
            <w:tcW w:type="dxa" w:w="29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Realisasi SJUT sesuai target tahunan rencana induk; okupansi SJUT meningkat; kabel udara di ruas ber-SJUT turun bertahap; tidak ada korban akibat kabel.</w:t>
            </w:r>
          </w:p>
        </w:tc>
      </w:tr>
    </w:tbl>
    <w:p>
      <w:pPr>
        <w:pStyle w:val="Heading2"/>
      </w:pPr>
      <w:r>
        <w:rPr>
          <w:rFonts w:ascii="Arial" w:cs="Arial" w:eastAsia="Arial" w:hAnsi="Arial"/>
          <w:sz w:val="24"/>
          <w:szCs w:val="24"/>
          <w:lang w:val="id-ID"/>
        </w:rPr>
        <w:t xml:space="preserve">C.4 Rumusan Gagasan Aksi Perubahan</w:t>
      </w:r>
    </w:p>
    <w:p>
      <w:pPr>
        <w:keepNext/>
        <w:spacing w:after="120" w:before="0" w:line="360"/>
        <w:jc w:val="both"/>
      </w:pPr>
      <w:r>
        <w:rPr>
          <w:rFonts w:ascii="Arial" w:cs="Arial" w:eastAsia="Arial" w:hAnsi="Arial"/>
          <w:sz w:val="24"/>
          <w:szCs w:val="24"/>
          <w:lang w:val="id-ID"/>
        </w:rPr>
        <w:t xml:space="preserve">Sesuai rumus Sasaran Kinerja + Gagasan Inovatif + Lokus, gagasan aksi perubahan dirumuskan sebagai berikut:</w:t>
      </w:r>
    </w:p>
    <w:tbl>
      <w:tblPr>
        <w:tblW w:type="dxa" w:w="8787"/>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187"/>
      </w:tblGrid>
      <w:tr>
        <w:trPr>
          <w:cantSplit/>
        </w:trPr>
        <w:tc>
          <w:tcPr>
            <w:tcW w:type="dxa" w:w="2600"/>
            <w:shd w:fill="D9E2F3" w:color="auto" w:val="clear"/>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Sasaran kinerja</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Meningkatnya realisasi dan pengendalian pembangunan SJUT sesuai target.</w:t>
            </w:r>
          </w:p>
        </w:tc>
      </w:tr>
      <w:tr>
        <w:trPr>
          <w:cantSplit/>
        </w:trPr>
        <w:tc>
          <w:tcPr>
            <w:tcW w:type="dxa" w:w="2600"/>
            <w:shd w:fill="D9E2F3" w:color="auto" w:val="clear"/>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Gagasan inovatif</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SIGAP-SJUT: Satu Peta, Satu Data, Satu Dasbor.</w:t>
            </w:r>
          </w:p>
        </w:tc>
      </w:tr>
      <w:tr>
        <w:trPr>
          <w:cantSplit/>
        </w:trPr>
        <w:tc>
          <w:tcPr>
            <w:tcW w:type="dxa" w:w="2600"/>
            <w:shd w:fill="D9E2F3" w:color="auto" w:val="clear"/>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Lokus</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sz w:val="22"/>
                <w:szCs w:val="22"/>
                <w:lang w:val="id-ID"/>
              </w:rPr>
              <w:t xml:space="preserve">Dinas Bina Marga Provinsi DKI Jakarta bersama BUMD penugasan SJUT.</w:t>
            </w:r>
          </w:p>
        </w:tc>
      </w:tr>
      <w:tr>
        <w:trPr>
          <w:cantSplit/>
        </w:trPr>
        <w:tc>
          <w:tcPr>
            <w:tcW w:type="dxa" w:w="2600"/>
            <w:shd w:fill="D9E2F3" w:color="auto" w:val="clear"/>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Judul aksi perubahan</w:t>
            </w:r>
          </w:p>
        </w:tc>
        <w:tc>
          <w:tcPr>
            <w:tcW w:type="dxa" w:w="6187"/>
            <w:tcMar>
              <w:top w:type="dxa" w:w="40"/>
              <w:left w:type="dxa" w:w="90"/>
              <w:bottom w:type="dxa" w:w="40"/>
              <w:right w:type="dxa" w:w="90"/>
            </w:tcMar>
            <w:vAlign w:val="center"/>
          </w:tcPr>
          <w:p>
            <w:pPr>
              <w:spacing w:after="40" w:before="40" w:line="240"/>
              <w:jc w:val="left"/>
            </w:pPr>
            <w:r>
              <w:rPr>
                <w:rFonts w:ascii="Arial" w:cs="Arial" w:eastAsia="Arial" w:hAnsi="Arial"/>
                <w:b/>
                <w:bCs/>
                <w:sz w:val="22"/>
                <w:szCs w:val="22"/>
                <w:lang w:val="id-ID"/>
              </w:rPr>
              <w:t xml:space="preserve">Akselerasi Realisasi Pembangunan SJUT melalui SIGAP-SJUT (Satu Peta, Satu Data, Satu Dasbor) di Provinsi DKI Jakarta</w:t>
            </w:r>
          </w:p>
        </w:tc>
      </w:tr>
    </w:tbl>
    <w:p>
      <w:pPr>
        <w:pStyle w:val="Heading1"/>
      </w:pPr>
      <w:r>
        <w:rPr>
          <w:rFonts w:ascii="Arial" w:cs="Arial" w:eastAsia="Arial" w:hAnsi="Arial"/>
          <w:sz w:val="24"/>
          <w:szCs w:val="24"/>
          <w:lang w:val="id-ID"/>
        </w:rPr>
        <w:t xml:space="preserve">PENUTUP</w:t>
      </w:r>
    </w:p>
    <w:p>
      <w:pPr>
        <w:spacing w:after="120" w:before="0" w:line="360"/>
        <w:jc w:val="both"/>
      </w:pPr>
      <w:r>
        <w:rPr>
          <w:rFonts w:ascii="Arial" w:cs="Arial" w:eastAsia="Arial" w:hAnsi="Arial"/>
          <w:sz w:val="24"/>
          <w:szCs w:val="24"/>
          <w:lang w:val="id-ID"/>
        </w:rPr>
        <w:t xml:space="preserve">Realisasi SJUT jauh dari target bukan semata karena kekosongan regulasi, melainkan karena belum ada sistem perencanaan dan pengendalian yang terpadu dan berbasis data. Tapisan McNamara menempatkan SIGAP-SJUT sebagai solusi prioritas (skor 13) yang memenuhi lima kriteria terobosan inovatif dan selaras dengan nilai BerAKHLAK. Keberhasilannya menuntut kepemimpinan pelayanan: kejelian (</w:t>
      </w:r>
      <w:r>
        <w:rPr>
          <w:rFonts w:ascii="Arial" w:cs="Arial" w:eastAsia="Arial" w:hAnsi="Arial"/>
          <w:i/>
          <w:iCs/>
          <w:sz w:val="24"/>
          <w:szCs w:val="24"/>
          <w:lang w:val="id-ID"/>
        </w:rPr>
        <w:t xml:space="preserve">foresight</w:t>
      </w:r>
      <w:r>
        <w:rPr>
          <w:rFonts w:ascii="Arial" w:cs="Arial" w:eastAsia="Arial" w:hAnsi="Arial"/>
          <w:sz w:val="24"/>
          <w:szCs w:val="24"/>
          <w:lang w:val="id-ID"/>
        </w:rPr>
        <w:t xml:space="preserve">) membaca risiko sejak dini, kesediaan mendengarkan (</w:t>
      </w:r>
      <w:r>
        <w:rPr>
          <w:rFonts w:ascii="Arial" w:cs="Arial" w:eastAsia="Arial" w:hAnsi="Arial"/>
          <w:i/>
          <w:iCs/>
          <w:sz w:val="24"/>
          <w:szCs w:val="24"/>
          <w:lang w:val="id-ID"/>
        </w:rPr>
        <w:t xml:space="preserve">listening</w:t>
      </w:r>
      <w:r>
        <w:rPr>
          <w:rFonts w:ascii="Arial" w:cs="Arial" w:eastAsia="Arial" w:hAnsi="Arial"/>
          <w:sz w:val="24"/>
          <w:szCs w:val="24"/>
          <w:lang w:val="id-ID"/>
        </w:rPr>
        <w:t xml:space="preserve">) keluhan warga dan operator, serta kemampuan membangun komunitas (</w:t>
      </w:r>
      <w:r>
        <w:rPr>
          <w:rFonts w:ascii="Arial" w:cs="Arial" w:eastAsia="Arial" w:hAnsi="Arial"/>
          <w:i/>
          <w:iCs/>
          <w:sz w:val="24"/>
          <w:szCs w:val="24"/>
          <w:lang w:val="id-ID"/>
        </w:rPr>
        <w:t xml:space="preserve">building community</w:t>
      </w:r>
      <w:r>
        <w:rPr>
          <w:rFonts w:ascii="Arial" w:cs="Arial" w:eastAsia="Arial" w:hAnsi="Arial"/>
          <w:sz w:val="24"/>
          <w:szCs w:val="24"/>
          <w:lang w:val="id-ID"/>
        </w:rPr>
        <w:t xml:space="preserve">) lintas pemangku kepentingan. Dengan dukungan regulasi dan Tim Akselerasi, SJUT dapat kembali ke jalur target dan Jakarta menjadi kota yang aman, tertib, dan layak sebagai kota global.</w:t>
      </w:r>
    </w:p>
    <w:p>
      <w:pPr>
        <w:pStyle w:val="Heading1"/>
      </w:pPr>
      <w:r>
        <w:rPr>
          <w:rFonts w:ascii="Arial" w:cs="Arial" w:eastAsia="Arial" w:hAnsi="Arial"/>
          <w:sz w:val="24"/>
          <w:szCs w:val="24"/>
          <w:lang w:val="id-ID"/>
        </w:rPr>
        <w:t xml:space="preserve">RUJUKAN</w:t>
      </w:r>
    </w:p>
    <w:p>
      <w:pPr>
        <w:pStyle w:val="ListParagraph"/>
        <w:numPr>
          <w:ilvl w:val="0"/>
          <w:numId w:val="7"/>
        </w:numPr>
        <w:spacing w:after="60" w:before="0" w:line="360"/>
        <w:jc w:val="both"/>
      </w:pPr>
      <w:r>
        <w:rPr>
          <w:rFonts w:ascii="Arial" w:cs="Arial" w:eastAsia="Arial" w:hAnsi="Arial"/>
          <w:sz w:val="24"/>
          <w:szCs w:val="24"/>
          <w:lang w:val="id-ID"/>
        </w:rPr>
        <w:t xml:space="preserve">BPSDM Provinsi Daerah Khusus Jakarta. (2026). </w:t>
      </w:r>
      <w:r>
        <w:rPr>
          <w:rFonts w:ascii="Arial" w:cs="Arial" w:eastAsia="Arial" w:hAnsi="Arial"/>
          <w:i/>
          <w:iCs/>
          <w:sz w:val="24"/>
          <w:szCs w:val="24"/>
          <w:lang w:val="id-ID"/>
        </w:rPr>
        <w:t xml:space="preserve">Bahan Tayang Pembelajaran Klasikal Agenda II PKP Angkatan 45: Kepemimpinan Pelayanan dan Strategi Diagnosa Organisasi</w:t>
      </w:r>
      <w:r>
        <w:rPr>
          <w:rFonts w:ascii="Arial" w:cs="Arial" w:eastAsia="Arial" w:hAnsi="Arial"/>
          <w:sz w:val="24"/>
          <w:szCs w:val="24"/>
          <w:lang w:val="id-ID"/>
        </w:rPr>
        <w:t xml:space="preserve">.</w:t>
      </w:r>
    </w:p>
    <w:p>
      <w:pPr>
        <w:pStyle w:val="ListParagraph"/>
        <w:numPr>
          <w:ilvl w:val="0"/>
          <w:numId w:val="7"/>
        </w:numPr>
        <w:spacing w:after="60" w:before="0" w:line="360"/>
        <w:jc w:val="both"/>
      </w:pPr>
      <w:r>
        <w:rPr>
          <w:rFonts w:ascii="Arial" w:cs="Arial" w:eastAsia="Arial" w:hAnsi="Arial"/>
          <w:sz w:val="24"/>
          <w:szCs w:val="24"/>
          <w:lang w:val="id-ID"/>
        </w:rPr>
        <w:t xml:space="preserve">Ombudsman Republik Indonesia. Temuan lima kejanggalan pembangunan SJUT oleh Pemprov DKI Jakarta beserta rekomendasinya.</w:t>
      </w:r>
    </w:p>
    <w:p>
      <w:pPr>
        <w:pStyle w:val="ListParagraph"/>
        <w:numPr>
          <w:ilvl w:val="0"/>
          <w:numId w:val="7"/>
        </w:numPr>
        <w:spacing w:after="60" w:before="0" w:line="360"/>
        <w:jc w:val="both"/>
      </w:pPr>
      <w:r>
        <w:rPr>
          <w:rFonts w:ascii="Arial" w:cs="Arial" w:eastAsia="Arial" w:hAnsi="Arial"/>
          <w:sz w:val="24"/>
          <w:szCs w:val="24"/>
          <w:lang w:val="id-ID"/>
        </w:rPr>
        <w:t xml:space="preserve">Peraturan Gubernur Nomor 106 Tahun 2019 tentang Pedoman Penyelenggaraan Infrastruktur Jaringan Utilitas beserta perubahannya.</w:t>
      </w:r>
    </w:p>
    <w:p>
      <w:pPr>
        <w:pStyle w:val="ListParagraph"/>
        <w:numPr>
          <w:ilvl w:val="0"/>
          <w:numId w:val="7"/>
        </w:numPr>
        <w:spacing w:after="60" w:before="0" w:line="360"/>
        <w:jc w:val="both"/>
      </w:pPr>
      <w:r>
        <w:rPr>
          <w:rFonts w:ascii="Arial" w:cs="Arial" w:eastAsia="Arial" w:hAnsi="Arial"/>
          <w:sz w:val="24"/>
          <w:szCs w:val="24"/>
          <w:lang w:val="id-ID"/>
        </w:rPr>
        <w:t xml:space="preserve">Undang-Undang Nomor 20 Tahun 2023 tentang Aparatur Sipil Negara.</w:t>
      </w:r>
    </w:p>
    <w:sectPr>
      <w:footerReference w:type="default" r:id="rId8"/>
      <w:type w:val="nextPage"/>
      <w:pgSz w:w="11906" w:h="16838" w:orient="portrait"/>
      <w:pgMar w:top="1418" w:right="1418" w:bottom="1418" w:left="1701"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jc w:val="both"/>
      </w:pPr>
      <w:r>
        <w:rPr>
          <w:rStyle w:val="FootnoteReference"/>
        </w:rPr>
        <w:footnoteRef/>
      </w:r>
      <w:r>
        <w:rPr>
          <w:rFonts w:ascii="Arial" w:cs="Arial" w:eastAsia="Arial" w:hAnsi="Arial"/>
          <w:sz w:val="20"/>
          <w:szCs w:val="20"/>
          <w:lang w:val="id-ID"/>
        </w:rPr>
        <w:t xml:space="preserve">Berdasarkan pemberitaan media, PT Jakarta Infrastruktur Propertindo (anak usaha PT Jakpro) ditugasi ±115 km pada 32 ruas jalan di Jakarta Selatan dan Jakarta Timur, sedangkan Perumda Pembangunan Sarana Jaya ±100 km pada 36 ruas jalan di Jakarta Pusat dan Jakarta Barat.</w:t>
      </w:r>
    </w:p>
  </w:footnote>
  <w:footnote w:id="2">
    <w:p>
      <w:pPr>
        <w:spacing w:after="0" w:line="240"/>
        <w:jc w:val="both"/>
      </w:pPr>
      <w:r>
        <w:rPr>
          <w:rStyle w:val="FootnoteReference"/>
        </w:rPr>
        <w:footnoteRef/>
      </w:r>
      <w:r>
        <w:rPr>
          <w:rFonts w:ascii="Arial" w:cs="Arial" w:eastAsia="Arial" w:hAnsi="Arial"/>
          <w:sz w:val="20"/>
          <w:szCs w:val="20"/>
          <w:lang w:val="id-ID"/>
        </w:rPr>
        <w:t xml:space="preserve">Keputusan Gubernur Nomor 645 Tahun 2021 tentang Perubahan atas Keputusan Gubernur Nomor 1016 Tahun 2020 tentang penetapan lokasi penyelenggaraan SJUT oleh PT Jakpro dan Perumda Pembangunan Sarana Jaya (temuan Ombudsman RI).</w:t>
      </w:r>
    </w:p>
  </w:footnote>
  <w:footnote w:id="3">
    <w:p>
      <w:pPr>
        <w:spacing w:after="0" w:line="240"/>
        <w:jc w:val="both"/>
      </w:pPr>
      <w:r>
        <w:rPr>
          <w:rStyle w:val="FootnoteReference"/>
        </w:rPr>
        <w:footnoteRef/>
      </w:r>
      <w:r>
        <w:rPr>
          <w:rFonts w:ascii="Arial" w:cs="Arial" w:eastAsia="Arial" w:hAnsi="Arial"/>
          <w:sz w:val="20"/>
          <w:szCs w:val="20"/>
          <w:lang w:val="id-ID"/>
        </w:rPr>
        <w:t xml:space="preserve">Antara lain Pergub Nomor 10 Tahun 2025 tentang Perubahan atas Pergub Nomor 106 Tahun 2019 tentang Pedoman Penyelenggaraan Infrastruktur Jaringan Utilitas, dan Pergub Nomor 11 Tahun 2025 tentang Perubahan Kedua atas Pergub Nomor 110 Tahun 2019 tentang Penugasan kepada PT Jakarta Propertindo (Perseroda) dalam Penyelenggaraan SJUT.</w:t>
      </w:r>
    </w:p>
  </w:footnote>
  <w:footnote w:id="4">
    <w:p>
      <w:pPr>
        <w:spacing w:after="0" w:line="240"/>
        <w:jc w:val="both"/>
      </w:pPr>
      <w:r>
        <w:rPr>
          <w:rStyle w:val="FootnoteReference"/>
        </w:rPr>
        <w:footnoteRef/>
      </w:r>
      <w:r>
        <w:rPr>
          <w:rFonts w:ascii="Arial" w:cs="Arial" w:eastAsia="Arial" w:hAnsi="Arial"/>
          <w:sz w:val="20"/>
          <w:szCs w:val="20"/>
          <w:lang w:val="id-ID"/>
        </w:rPr>
        <w:t xml:space="preserve">Pemberitaan media mencatat bahwa hingga 2023 Asosiasi Penyelenggara Jaringan Telekomunikasi (APJATEL) belum mencapai kesepakatan desain dan harga sewa SJUT dengan Pemprov DKI Jakarta dan BUMD penugasan.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6" w:hanging="426"/>
      </w:pPr>
      <w:rPr>
        <w:rFonts w:ascii="Arial" w:cs="Arial" w:eastAsia="Arial" w:hAnsi="Arial"/>
      </w:rPr>
    </w:lvl>
  </w:abstractNum>
  <w:abstractNum w:abstractNumId="3" w15:restartNumberingAfterBreak="0">
    <w:multiLevelType w:val="hybridMultilevel"/>
    <w:lvl w:ilvl="0" w:tentative="1">
      <w:start w:val="1"/>
      <w:numFmt w:val="lowerLetter"/>
      <w:lvlText w:val="%1."/>
      <w:lvlJc w:val="left"/>
      <w:pPr>
        <w:ind w:left="426" w:hanging="426"/>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426" w:hanging="284"/>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4"/>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line="360"/>
      <w:outlineLvl w:val="0"/>
    </w:pPr>
    <w:rPr>
      <w:rFonts w:ascii="Arial" w:cs="Arial" w:eastAsia="Arial" w:hAnsi="Arial"/>
      <w:b/>
      <w:bCs/>
      <w:color w:val="000000"/>
      <w:sz w:val="24"/>
      <w:szCs w:val="24"/>
    </w:rPr>
  </w:style>
  <w:style w:type="paragraph" w:styleId="Heading2">
    <w:name w:val="Heading 2"/>
    <w:basedOn w:val="Normal"/>
    <w:next w:val="Normal"/>
    <w:qFormat/>
    <w:pPr>
      <w:keepNext/>
      <w:keepLines/>
      <w:spacing w:after="60" w:before="180" w:line="360"/>
      <w:outlineLvl w:val="1"/>
    </w:pPr>
    <w:rPr>
      <w:rFonts w:ascii="Arial" w:cs="Arial" w:eastAsia="Arial" w:hAnsi="Arial"/>
      <w:b/>
      <w:bCs/>
      <w:color w:val="000000"/>
      <w:sz w:val="24"/>
      <w:szCs w:val="24"/>
    </w:rPr>
  </w:style>
  <w:style w:type="paragraph" w:styleId="Heading3">
    <w:name w:val="Heading 3"/>
    <w:basedOn w:val="Normal"/>
    <w:next w:val="Normal"/>
    <w:qFormat/>
    <w:pPr>
      <w:keepNext/>
      <w:keepLines/>
      <w:spacing w:after="40" w:before="120" w:line="360"/>
      <w:outlineLvl w:val="2"/>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23fd9128eb5d42ff578316d29dc926ab66544d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Soal Esai PKP 2026 – SJUT Jakarta</dc:title>
  <dc:creator>Peserta PKP Angkatan 45</dc:creator>
  <dc:description>Analisis fishbone, USG, alternatif solusi, Tapisan McNamara, dan 5 kriteria inovasi</dc:description>
  <cp:lastModifiedBy>Un-named</cp:lastModifiedBy>
  <cp:revision>1</cp:revision>
  <dcterms:created xsi:type="dcterms:W3CDTF">2026-09-28T02:10:23.926Z</dcterms:created>
  <dcterms:modified xsi:type="dcterms:W3CDTF">2026-09-28T02:10:23.926Z</dcterms:modified>
</cp:coreProperties>
</file>

<file path=docProps/custom.xml><?xml version="1.0" encoding="utf-8"?>
<Properties xmlns="http://schemas.openxmlformats.org/officeDocument/2006/custom-properties" xmlns:vt="http://schemas.openxmlformats.org/officeDocument/2006/docPropsVTypes"/>
</file>