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61238" w14:textId="1C5D3AEC" w:rsidR="00CA3AA6" w:rsidRPr="00E1249E" w:rsidRDefault="00372CD4" w:rsidP="00746F16">
      <w:pPr>
        <w:jc w:val="center"/>
        <w:rPr>
          <w:rFonts w:ascii="Open Sans" w:hAnsi="Open Sans" w:cs="Open Sans"/>
          <w:b/>
          <w:caps/>
          <w:szCs w:val="22"/>
        </w:rPr>
      </w:pPr>
      <w:r w:rsidRPr="00E1249E">
        <w:rPr>
          <w:rFonts w:ascii="Open Sans" w:hAnsi="Open Sans" w:cs="Open Sans"/>
          <w:b/>
          <w:szCs w:val="22"/>
        </w:rPr>
        <w:t xml:space="preserve">TALLER </w:t>
      </w:r>
      <w:r w:rsidR="00BD0FC0" w:rsidRPr="00E1249E">
        <w:rPr>
          <w:rFonts w:ascii="Open Sans" w:hAnsi="Open Sans" w:cs="Open Sans"/>
          <w:b/>
          <w:szCs w:val="22"/>
        </w:rPr>
        <w:t xml:space="preserve">– </w:t>
      </w:r>
      <w:r w:rsidR="00377EC8" w:rsidRPr="00E1249E">
        <w:rPr>
          <w:rFonts w:ascii="Open Sans" w:hAnsi="Open Sans" w:cs="Open Sans"/>
          <w:b/>
          <w:caps/>
          <w:szCs w:val="22"/>
        </w:rPr>
        <w:t>Identificación de NC</w:t>
      </w:r>
    </w:p>
    <w:p w14:paraId="3FAA1EB7" w14:textId="77777777" w:rsidR="00E1249E" w:rsidRPr="00E1249E" w:rsidRDefault="00E1249E" w:rsidP="00746F16">
      <w:pPr>
        <w:jc w:val="center"/>
        <w:rPr>
          <w:rFonts w:ascii="Open Sans" w:hAnsi="Open Sans" w:cs="Open Sans"/>
          <w:b/>
          <w:szCs w:val="22"/>
        </w:rPr>
      </w:pPr>
    </w:p>
    <w:p w14:paraId="29C61F12" w14:textId="69323ED5" w:rsidR="00E1249E" w:rsidRPr="00E1249E" w:rsidRDefault="00E1249E" w:rsidP="00E1249E">
      <w:pPr>
        <w:rPr>
          <w:rFonts w:ascii="Open Sans" w:hAnsi="Open Sans" w:cs="Open Sans"/>
          <w:szCs w:val="22"/>
        </w:rPr>
      </w:pPr>
      <w:r w:rsidRPr="00E1249E">
        <w:rPr>
          <w:rFonts w:ascii="Open Sans" w:hAnsi="Open Sans" w:cs="Open Sans"/>
          <w:szCs w:val="22"/>
        </w:rPr>
        <w:t>Para los eventos que se describen a continuación,</w:t>
      </w:r>
      <w:r w:rsidRPr="00E1249E">
        <w:rPr>
          <w:rFonts w:ascii="Open Sans" w:hAnsi="Open Sans" w:cs="Open Sans"/>
          <w:szCs w:val="22"/>
        </w:rPr>
        <w:t xml:space="preserve"> debes identificar</w:t>
      </w:r>
      <w:r w:rsidRPr="00E1249E">
        <w:rPr>
          <w:rFonts w:ascii="Open Sans" w:hAnsi="Open Sans" w:cs="Open Sans"/>
          <w:szCs w:val="22"/>
        </w:rPr>
        <w:t xml:space="preserve"> si se trata de una Conformidad o No Conformidad, y cuál es el Requisito relacionado de la Norma ISO 10012:2003 </w:t>
      </w:r>
    </w:p>
    <w:p w14:paraId="30A2B35B" w14:textId="77777777" w:rsidR="00E1249E" w:rsidRPr="00E1249E" w:rsidRDefault="00E1249E" w:rsidP="00E1249E">
      <w:pPr>
        <w:rPr>
          <w:rFonts w:ascii="Open Sans" w:hAnsi="Open Sans" w:cs="Open Sans"/>
          <w:szCs w:val="22"/>
        </w:rPr>
      </w:pPr>
    </w:p>
    <w:p w14:paraId="6CC77E47" w14:textId="77777777" w:rsidR="00E1249E" w:rsidRPr="00E1249E" w:rsidRDefault="00E1249E" w:rsidP="00E1249E">
      <w:pPr>
        <w:rPr>
          <w:rFonts w:ascii="Open Sans" w:hAnsi="Open Sans" w:cs="Open Sans"/>
          <w:szCs w:val="22"/>
        </w:rPr>
      </w:pPr>
      <w:r w:rsidRPr="00E1249E">
        <w:rPr>
          <w:rFonts w:ascii="Open Sans" w:hAnsi="Open Sans" w:cs="Open Sans"/>
          <w:b/>
          <w:bCs/>
          <w:szCs w:val="22"/>
        </w:rPr>
        <w:t xml:space="preserve">Conformidad:      </w:t>
      </w:r>
      <w:r w:rsidRPr="00E1249E">
        <w:rPr>
          <w:rFonts w:ascii="Open Sans" w:hAnsi="Open Sans" w:cs="Open Sans"/>
          <w:szCs w:val="22"/>
        </w:rPr>
        <w:t>Cumplimiento de un requisito</w:t>
      </w:r>
      <w:bookmarkStart w:id="0" w:name="_GoBack"/>
      <w:bookmarkEnd w:id="0"/>
    </w:p>
    <w:p w14:paraId="3C4449ED" w14:textId="77777777" w:rsidR="00E1249E" w:rsidRPr="00E1249E" w:rsidRDefault="00E1249E" w:rsidP="00E1249E">
      <w:pPr>
        <w:rPr>
          <w:rFonts w:ascii="Open Sans" w:hAnsi="Open Sans" w:cs="Open Sans"/>
          <w:szCs w:val="22"/>
        </w:rPr>
      </w:pPr>
      <w:r w:rsidRPr="00E1249E">
        <w:rPr>
          <w:rFonts w:ascii="Open Sans" w:hAnsi="Open Sans" w:cs="Open Sans"/>
          <w:b/>
          <w:bCs/>
          <w:szCs w:val="22"/>
        </w:rPr>
        <w:t xml:space="preserve">No conformidad: </w:t>
      </w:r>
      <w:r w:rsidRPr="00E1249E">
        <w:rPr>
          <w:rFonts w:ascii="Open Sans" w:hAnsi="Open Sans" w:cs="Open Sans"/>
          <w:szCs w:val="22"/>
        </w:rPr>
        <w:t>Incumplimiento de un requisito</w:t>
      </w:r>
    </w:p>
    <w:p w14:paraId="22D4E4BD" w14:textId="77777777" w:rsidR="00E1249E" w:rsidRPr="00E1249E" w:rsidRDefault="00E1249E" w:rsidP="00E1249E">
      <w:pPr>
        <w:rPr>
          <w:rFonts w:ascii="Open Sans" w:hAnsi="Open Sans" w:cs="Open Sans"/>
          <w:szCs w:val="22"/>
        </w:rPr>
      </w:pPr>
    </w:p>
    <w:p w14:paraId="5C57DFC1" w14:textId="77777777" w:rsidR="00E1249E" w:rsidRPr="00E1249E" w:rsidRDefault="00E1249E" w:rsidP="00E1249E">
      <w:pPr>
        <w:rPr>
          <w:rFonts w:ascii="Open Sans" w:hAnsi="Open Sans" w:cs="Open Sans"/>
          <w:szCs w:val="22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6154"/>
        <w:gridCol w:w="1110"/>
        <w:gridCol w:w="567"/>
        <w:gridCol w:w="567"/>
      </w:tblGrid>
      <w:tr w:rsidR="00E1249E" w:rsidRPr="00E1249E" w14:paraId="472D7B4A" w14:textId="77777777" w:rsidTr="009A7EA7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22FD8B0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b/>
                <w:bCs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b/>
                <w:bCs/>
                <w:color w:val="000000"/>
                <w:szCs w:val="22"/>
                <w:lang w:val="es-CO" w:eastAsia="es-CO"/>
              </w:rPr>
              <w:t>No.</w:t>
            </w:r>
          </w:p>
        </w:tc>
        <w:tc>
          <w:tcPr>
            <w:tcW w:w="61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098AF27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b/>
                <w:bCs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b/>
                <w:bCs/>
                <w:color w:val="000000"/>
                <w:szCs w:val="22"/>
                <w:lang w:val="es-CO" w:eastAsia="es-CO"/>
              </w:rPr>
              <w:t>Evento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84557E" w14:textId="77777777" w:rsidR="00E1249E" w:rsidRPr="00E1249E" w:rsidRDefault="00E1249E" w:rsidP="009A7EA7">
            <w:pPr>
              <w:rPr>
                <w:rFonts w:ascii="Open Sans" w:hAnsi="Open Sans" w:cs="Open Sans"/>
                <w:b/>
                <w:bCs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b/>
                <w:bCs/>
                <w:color w:val="000000"/>
                <w:szCs w:val="22"/>
                <w:lang w:val="es-CO" w:eastAsia="es-CO"/>
              </w:rPr>
              <w:t xml:space="preserve">Numeral 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D09305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b/>
                <w:bCs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b/>
                <w:bCs/>
                <w:color w:val="000000"/>
                <w:szCs w:val="22"/>
                <w:lang w:val="es-CO" w:eastAsia="es-CO"/>
              </w:rPr>
              <w:t>C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3BA51543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b/>
                <w:bCs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b/>
                <w:bCs/>
                <w:color w:val="000000"/>
                <w:szCs w:val="22"/>
                <w:lang w:val="es-CO" w:eastAsia="es-CO"/>
              </w:rPr>
              <w:t>NC</w:t>
            </w:r>
          </w:p>
        </w:tc>
      </w:tr>
      <w:tr w:rsidR="00E1249E" w:rsidRPr="00E1249E" w14:paraId="7DAD5559" w14:textId="77777777" w:rsidTr="009A7EA7">
        <w:trPr>
          <w:trHeight w:val="64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9874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1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7A6D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La compañía documento el alcance de su sistema de gestión de mediciones describiendo los ítems necesarios para cumplir los requisitos metrológicos.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6ABD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4.0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7E8C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788F2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E1249E" w:rsidRPr="00E1249E" w14:paraId="24A65485" w14:textId="77777777" w:rsidTr="009A7EA7">
        <w:trPr>
          <w:trHeight w:val="64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2254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2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1D90A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La organización ha establecido sus requisitos metrológicos tomando en consideración la experiencia de 20 años del gerente financiero.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3D75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5.2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8FC5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21903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x</w:t>
            </w:r>
          </w:p>
        </w:tc>
      </w:tr>
      <w:tr w:rsidR="00E1249E" w:rsidRPr="00E1249E" w14:paraId="3B69D91E" w14:textId="77777777" w:rsidTr="009A7EA7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474A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3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C949D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Uno de los objetivos del sistema de gestión de las mediciones es "todas las personas que realizan las mediciones son competentes para detectar los desvíos de los procesos"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FD63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5.3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9B33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4E45E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x</w:t>
            </w:r>
          </w:p>
        </w:tc>
      </w:tr>
      <w:tr w:rsidR="00E1249E" w:rsidRPr="00E1249E" w14:paraId="6BB16782" w14:textId="77777777" w:rsidTr="009A7EA7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2E1C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4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4DCB0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 xml:space="preserve">El director de la función metrológica estableció en el presente año verificar el alcance de cada uno de los proveedores de servicios de calibración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10B9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6.4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594E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FE5D8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E1249E" w:rsidRPr="00E1249E" w14:paraId="03112BFF" w14:textId="77777777" w:rsidTr="009A7EA7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D07A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5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6A1AD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Los socios de la compañía definen y documentan las responsabilidades del personal que realiza las mediciones en la organización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3D05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6.1.1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B41E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4D1CB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x</w:t>
            </w:r>
          </w:p>
        </w:tc>
      </w:tr>
      <w:tr w:rsidR="00E1249E" w:rsidRPr="00E1249E" w14:paraId="66F0B95E" w14:textId="77777777" w:rsidTr="009A7EA7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818B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6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39C46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El líder de producción es consciente de revisar la confirmación metrológica para disminuir el riesgo de entregar resultados no confiables.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EDB0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6.1.2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64FB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BEEB1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E1249E" w:rsidRPr="00E1249E" w14:paraId="38E8F673" w14:textId="77777777" w:rsidTr="009A7EA7">
        <w:trPr>
          <w:trHeight w:val="9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2669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7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26D21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Verificando el procedimiento de medición de dos analistas se identificó que los resultados no son iguales por que cada uno de ellos maneja diferentes versiones del procedimiento.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3C71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8.3.2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9065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84843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x</w:t>
            </w:r>
          </w:p>
        </w:tc>
      </w:tr>
      <w:tr w:rsidR="00E1249E" w:rsidRPr="00E1249E" w14:paraId="22E1CBD1" w14:textId="77777777" w:rsidTr="009A7EA7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77E3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8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B1EB3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 xml:space="preserve">Al revisar el equipo de medición de gases se observa que la </w:t>
            </w:r>
            <w:proofErr w:type="spellStart"/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repetibilidad</w:t>
            </w:r>
            <w:proofErr w:type="spellEnd"/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 xml:space="preserve"> cumple con la determinada para el proceso de medición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8DB1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7.1.1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C93E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A38CD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E1249E" w:rsidRPr="00E1249E" w14:paraId="6FD66B31" w14:textId="77777777" w:rsidTr="009A7EA7">
        <w:trPr>
          <w:trHeight w:val="6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E55F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9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03C31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 xml:space="preserve">la incertidumbre del proceso de medición es de 0,3, esta incertidumbre se calculó durante la producción de los primeros baches de producción.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CCA3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7.3.1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62D4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04226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x</w:t>
            </w:r>
          </w:p>
        </w:tc>
      </w:tr>
      <w:tr w:rsidR="00E1249E" w:rsidRPr="00E1249E" w14:paraId="1E1BE614" w14:textId="77777777" w:rsidTr="009A7EA7">
        <w:trPr>
          <w:trHeight w:val="9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2A45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lastRenderedPageBreak/>
              <w:t>10</w:t>
            </w:r>
          </w:p>
        </w:tc>
        <w:tc>
          <w:tcPr>
            <w:tcW w:w="61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4918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lang w:val="es-CO" w:eastAsia="es-CO"/>
              </w:rPr>
              <w:t>En el formato 4215 se determina que el error del equipo informado en el certificado de calibración es corregido para la realización de la confirmación metrológica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081D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7.1.4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3E0B" w14:textId="77777777" w:rsidR="00E1249E" w:rsidRPr="00E1249E" w:rsidRDefault="00E1249E" w:rsidP="009A7EA7">
            <w:pPr>
              <w:jc w:val="center"/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AE910" w14:textId="77777777" w:rsidR="00E1249E" w:rsidRPr="00E1249E" w:rsidRDefault="00E1249E" w:rsidP="009A7EA7">
            <w:pPr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</w:pPr>
            <w:r w:rsidRPr="00E1249E">
              <w:rPr>
                <w:rFonts w:ascii="Open Sans" w:hAnsi="Open Sans" w:cs="Open Sans"/>
                <w:color w:val="000000"/>
                <w:szCs w:val="22"/>
                <w:highlight w:val="yellow"/>
                <w:lang w:val="es-CO" w:eastAsia="es-CO"/>
              </w:rPr>
              <w:t> </w:t>
            </w:r>
          </w:p>
        </w:tc>
      </w:tr>
    </w:tbl>
    <w:p w14:paraId="2F5649E2" w14:textId="77777777" w:rsidR="00E1249E" w:rsidRPr="00E1249E" w:rsidRDefault="00E1249E" w:rsidP="00E1249E">
      <w:pPr>
        <w:rPr>
          <w:rFonts w:ascii="Open Sans" w:hAnsi="Open Sans" w:cs="Open Sans"/>
          <w:szCs w:val="22"/>
        </w:rPr>
      </w:pPr>
    </w:p>
    <w:p w14:paraId="43F5C316" w14:textId="77777777" w:rsidR="00CA3AA6" w:rsidRPr="00E1249E" w:rsidRDefault="00CA3AA6">
      <w:pPr>
        <w:pStyle w:val="Textoindependiente"/>
        <w:rPr>
          <w:rFonts w:ascii="Open Sans" w:hAnsi="Open Sans" w:cs="Open Sans"/>
          <w:spacing w:val="4"/>
          <w:szCs w:val="22"/>
          <w:lang w:val="es-ES"/>
        </w:rPr>
      </w:pPr>
    </w:p>
    <w:sectPr w:rsidR="00CA3AA6" w:rsidRPr="00E1249E">
      <w:headerReference w:type="default" r:id="rId7"/>
      <w:footerReference w:type="default" r:id="rId8"/>
      <w:pgSz w:w="12242" w:h="15842" w:code="1"/>
      <w:pgMar w:top="1985" w:right="1134" w:bottom="1134" w:left="1701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37729" w14:textId="77777777" w:rsidR="00B66026" w:rsidRDefault="00B66026">
      <w:r>
        <w:separator/>
      </w:r>
    </w:p>
  </w:endnote>
  <w:endnote w:type="continuationSeparator" w:id="0">
    <w:p w14:paraId="7EDDBC7C" w14:textId="77777777" w:rsidR="00B66026" w:rsidRDefault="00B6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9C388" w14:textId="77777777" w:rsidR="00CA3AA6" w:rsidRDefault="00CA3AA6">
    <w:pPr>
      <w:jc w:val="center"/>
    </w:pPr>
    <w:r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C69AC" w14:textId="77777777" w:rsidR="00B66026" w:rsidRDefault="00B66026">
      <w:r>
        <w:separator/>
      </w:r>
    </w:p>
  </w:footnote>
  <w:footnote w:type="continuationSeparator" w:id="0">
    <w:p w14:paraId="057662EC" w14:textId="77777777" w:rsidR="00B66026" w:rsidRDefault="00B66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56F18" w14:textId="16D6AC25" w:rsidR="003528DA" w:rsidRPr="00EE3504" w:rsidRDefault="00AA75BC" w:rsidP="0098499E">
    <w:pPr>
      <w:pStyle w:val="Encabezado"/>
      <w:jc w:val="right"/>
      <w:rPr>
        <w:rFonts w:cs="Tahoma"/>
        <w:bCs/>
        <w:noProof/>
        <w:sz w:val="16"/>
        <w:szCs w:val="16"/>
        <w:lang w:val="en-US"/>
      </w:rPr>
    </w:pPr>
    <w:r>
      <w:rPr>
        <w:rFonts w:cs="Tahoma"/>
        <w:b/>
        <w:bCs/>
        <w:noProof/>
        <w:sz w:val="16"/>
        <w:szCs w:val="16"/>
        <w:lang w:val="es-CO" w:eastAsia="es-CO"/>
      </w:rPr>
      <w:drawing>
        <wp:anchor distT="0" distB="0" distL="114300" distR="114300" simplePos="0" relativeHeight="251657728" behindDoc="0" locked="0" layoutInCell="1" allowOverlap="1" wp14:anchorId="2F1FDB1A" wp14:editId="46F7431E">
          <wp:simplePos x="0" y="0"/>
          <wp:positionH relativeFrom="column">
            <wp:posOffset>333375</wp:posOffset>
          </wp:positionH>
          <wp:positionV relativeFrom="paragraph">
            <wp:posOffset>-250825</wp:posOffset>
          </wp:positionV>
          <wp:extent cx="577850" cy="78867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" cy="788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7EC8">
      <w:rPr>
        <w:rFonts w:cs="Tahoma"/>
        <w:b/>
        <w:bCs/>
        <w:noProof/>
        <w:sz w:val="16"/>
        <w:szCs w:val="16"/>
      </w:rPr>
      <w:t xml:space="preserve"> </w:t>
    </w:r>
  </w:p>
  <w:p w14:paraId="7733B0E0" w14:textId="77777777" w:rsidR="003528DA" w:rsidRPr="00EE3504" w:rsidRDefault="003528DA" w:rsidP="00377EC8">
    <w:pPr>
      <w:pStyle w:val="Encabezado"/>
      <w:jc w:val="right"/>
      <w:rPr>
        <w:rFonts w:cs="Tahoma"/>
        <w:b/>
        <w:bCs/>
        <w:noProof/>
        <w:sz w:val="16"/>
        <w:szCs w:val="16"/>
        <w:lang w:val="en-US"/>
      </w:rPr>
    </w:pPr>
  </w:p>
  <w:p w14:paraId="15157451" w14:textId="77777777" w:rsidR="00377EC8" w:rsidRPr="00EE3504" w:rsidRDefault="00377EC8" w:rsidP="00377EC8">
    <w:pPr>
      <w:pStyle w:val="Encabezado"/>
      <w:rPr>
        <w:lang w:val="en-US"/>
      </w:rPr>
    </w:pPr>
  </w:p>
  <w:p w14:paraId="731C137A" w14:textId="77777777" w:rsidR="00CA3AA6" w:rsidRDefault="00CA3AA6" w:rsidP="004D25DB">
    <w:pPr>
      <w:pStyle w:val="Encabezado"/>
      <w:jc w:val="right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D3BA3"/>
    <w:multiLevelType w:val="singleLevel"/>
    <w:tmpl w:val="FDB47B12"/>
    <w:lvl w:ilvl="0">
      <w:start w:val="4"/>
      <w:numFmt w:val="none"/>
      <w:pStyle w:val="Ttulo5"/>
      <w:lvlText w:val="4.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4"/>
      </w:rPr>
    </w:lvl>
  </w:abstractNum>
  <w:abstractNum w:abstractNumId="1" w15:restartNumberingAfterBreak="0">
    <w:nsid w:val="250A273F"/>
    <w:multiLevelType w:val="hybridMultilevel"/>
    <w:tmpl w:val="C75459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D773C"/>
    <w:multiLevelType w:val="singleLevel"/>
    <w:tmpl w:val="737A7566"/>
    <w:lvl w:ilvl="0">
      <w:start w:val="1"/>
      <w:numFmt w:val="upperLetter"/>
      <w:pStyle w:val="Ttulo9"/>
      <w:lvlText w:val="%1. -"/>
      <w:legacy w:legacy="1" w:legacySpace="0" w:legacyIndent="454"/>
      <w:lvlJc w:val="left"/>
      <w:pPr>
        <w:ind w:left="454" w:hanging="454"/>
      </w:pPr>
    </w:lvl>
  </w:abstractNum>
  <w:abstractNum w:abstractNumId="3" w15:restartNumberingAfterBreak="0">
    <w:nsid w:val="599A247B"/>
    <w:multiLevelType w:val="hybridMultilevel"/>
    <w:tmpl w:val="49584D1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6062"/>
    <w:multiLevelType w:val="hybridMultilevel"/>
    <w:tmpl w:val="9D6E05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A75D68"/>
    <w:multiLevelType w:val="multilevel"/>
    <w:tmpl w:val="BA2A827A"/>
    <w:lvl w:ilvl="0">
      <w:start w:val="12"/>
      <w:numFmt w:val="decimal"/>
      <w:pStyle w:val="Epgrafe"/>
      <w:lvlText w:val="%1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75"/>
        </w:tabs>
        <w:ind w:left="33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90"/>
        </w:tabs>
        <w:ind w:left="36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5"/>
        </w:tabs>
        <w:ind w:left="43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520"/>
      </w:pPr>
      <w:rPr>
        <w:rFonts w:hint="default"/>
      </w:rPr>
    </w:lvl>
  </w:abstractNum>
  <w:abstractNum w:abstractNumId="6" w15:restartNumberingAfterBreak="0">
    <w:nsid w:val="7D2E2D3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1A"/>
    <w:rsid w:val="00061533"/>
    <w:rsid w:val="0006785F"/>
    <w:rsid w:val="000A58C0"/>
    <w:rsid w:val="000E10FE"/>
    <w:rsid w:val="000E3BD6"/>
    <w:rsid w:val="000E7622"/>
    <w:rsid w:val="00196972"/>
    <w:rsid w:val="001D38AD"/>
    <w:rsid w:val="001D7725"/>
    <w:rsid w:val="001E4699"/>
    <w:rsid w:val="001F02D7"/>
    <w:rsid w:val="001F63E5"/>
    <w:rsid w:val="0022267E"/>
    <w:rsid w:val="00223A2E"/>
    <w:rsid w:val="002736C7"/>
    <w:rsid w:val="00284AB3"/>
    <w:rsid w:val="002B6471"/>
    <w:rsid w:val="003404E0"/>
    <w:rsid w:val="003528DA"/>
    <w:rsid w:val="00352E38"/>
    <w:rsid w:val="0037018B"/>
    <w:rsid w:val="00372CD4"/>
    <w:rsid w:val="00377EC8"/>
    <w:rsid w:val="003B12E3"/>
    <w:rsid w:val="003B1A1C"/>
    <w:rsid w:val="003E5BD7"/>
    <w:rsid w:val="0041049E"/>
    <w:rsid w:val="00414174"/>
    <w:rsid w:val="00417D68"/>
    <w:rsid w:val="004349C5"/>
    <w:rsid w:val="00453CA9"/>
    <w:rsid w:val="004738E3"/>
    <w:rsid w:val="004B2CD1"/>
    <w:rsid w:val="004D25DB"/>
    <w:rsid w:val="004D47DB"/>
    <w:rsid w:val="004D5252"/>
    <w:rsid w:val="004E2977"/>
    <w:rsid w:val="004E5C31"/>
    <w:rsid w:val="00545CD2"/>
    <w:rsid w:val="00577518"/>
    <w:rsid w:val="00583694"/>
    <w:rsid w:val="005B41F0"/>
    <w:rsid w:val="005B4CD2"/>
    <w:rsid w:val="005C0C13"/>
    <w:rsid w:val="005D3CA6"/>
    <w:rsid w:val="005E5938"/>
    <w:rsid w:val="0065153D"/>
    <w:rsid w:val="00662749"/>
    <w:rsid w:val="00663F7D"/>
    <w:rsid w:val="006652F8"/>
    <w:rsid w:val="00672653"/>
    <w:rsid w:val="006B45C6"/>
    <w:rsid w:val="006B56E2"/>
    <w:rsid w:val="006D5CFC"/>
    <w:rsid w:val="006E2137"/>
    <w:rsid w:val="006E41CA"/>
    <w:rsid w:val="006E5682"/>
    <w:rsid w:val="006F3E82"/>
    <w:rsid w:val="00707EC2"/>
    <w:rsid w:val="00746F16"/>
    <w:rsid w:val="00753D86"/>
    <w:rsid w:val="00781F84"/>
    <w:rsid w:val="007D703B"/>
    <w:rsid w:val="007E0B98"/>
    <w:rsid w:val="00810996"/>
    <w:rsid w:val="00840E4C"/>
    <w:rsid w:val="008F0B4D"/>
    <w:rsid w:val="0091115F"/>
    <w:rsid w:val="00913082"/>
    <w:rsid w:val="0091485C"/>
    <w:rsid w:val="00962204"/>
    <w:rsid w:val="0096533A"/>
    <w:rsid w:val="0096624C"/>
    <w:rsid w:val="0097648A"/>
    <w:rsid w:val="0098499E"/>
    <w:rsid w:val="00991F0A"/>
    <w:rsid w:val="00A20B45"/>
    <w:rsid w:val="00A257E7"/>
    <w:rsid w:val="00A2592C"/>
    <w:rsid w:val="00A82D1A"/>
    <w:rsid w:val="00AA36CE"/>
    <w:rsid w:val="00AA75BC"/>
    <w:rsid w:val="00B116C6"/>
    <w:rsid w:val="00B2316A"/>
    <w:rsid w:val="00B3696F"/>
    <w:rsid w:val="00B66026"/>
    <w:rsid w:val="00BB6091"/>
    <w:rsid w:val="00BD0FC0"/>
    <w:rsid w:val="00BE79B6"/>
    <w:rsid w:val="00BF50FA"/>
    <w:rsid w:val="00BF61AC"/>
    <w:rsid w:val="00C46DB6"/>
    <w:rsid w:val="00C578C5"/>
    <w:rsid w:val="00C72B65"/>
    <w:rsid w:val="00C81AA0"/>
    <w:rsid w:val="00C948E0"/>
    <w:rsid w:val="00C96FAE"/>
    <w:rsid w:val="00CA3AA6"/>
    <w:rsid w:val="00CC5959"/>
    <w:rsid w:val="00CC5D5D"/>
    <w:rsid w:val="00CE23AF"/>
    <w:rsid w:val="00CF0F04"/>
    <w:rsid w:val="00D51798"/>
    <w:rsid w:val="00D521BB"/>
    <w:rsid w:val="00D53BA2"/>
    <w:rsid w:val="00D615B1"/>
    <w:rsid w:val="00D64E62"/>
    <w:rsid w:val="00D845CA"/>
    <w:rsid w:val="00DA07B5"/>
    <w:rsid w:val="00DB6814"/>
    <w:rsid w:val="00DD028F"/>
    <w:rsid w:val="00E00A5D"/>
    <w:rsid w:val="00E01784"/>
    <w:rsid w:val="00E06771"/>
    <w:rsid w:val="00E1249E"/>
    <w:rsid w:val="00E16398"/>
    <w:rsid w:val="00E456F8"/>
    <w:rsid w:val="00E6368C"/>
    <w:rsid w:val="00E6784D"/>
    <w:rsid w:val="00E727EE"/>
    <w:rsid w:val="00E77851"/>
    <w:rsid w:val="00EE2DA1"/>
    <w:rsid w:val="00EE3504"/>
    <w:rsid w:val="00F72DEB"/>
    <w:rsid w:val="00F823AD"/>
    <w:rsid w:val="00F93A09"/>
    <w:rsid w:val="00FC246B"/>
    <w:rsid w:val="00FC2DB9"/>
    <w:rsid w:val="00FD4575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451A34"/>
  <w15:chartTrackingRefBased/>
  <w15:docId w15:val="{C166D10B-FA5D-4F14-BC01-0FF907E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aps/>
      <w:sz w:val="32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8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708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ind w:left="1134" w:hanging="1134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numPr>
        <w:numId w:val="1"/>
      </w:numPr>
      <w:tabs>
        <w:tab w:val="left" w:pos="2552"/>
      </w:tabs>
      <w:spacing w:before="240" w:after="120"/>
      <w:outlineLvl w:val="4"/>
    </w:pPr>
    <w:rPr>
      <w:rFonts w:ascii="Verdana" w:hAnsi="Verdana"/>
      <w:b/>
      <w:caps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</w:tabs>
      <w:suppressAutoHyphens/>
      <w:spacing w:after="54"/>
      <w:jc w:val="center"/>
      <w:outlineLvl w:val="6"/>
    </w:pPr>
    <w:rPr>
      <w:rFonts w:ascii="Arial" w:hAnsi="Arial"/>
      <w:b/>
      <w:spacing w:val="-1"/>
      <w:lang w:val="nl-NL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</w:tabs>
      <w:suppressAutoHyphens/>
      <w:ind w:left="670" w:hanging="670"/>
      <w:outlineLvl w:val="7"/>
    </w:pPr>
    <w:rPr>
      <w:rFonts w:ascii="Arial" w:hAnsi="Arial"/>
      <w:spacing w:val="-1"/>
      <w:sz w:val="24"/>
      <w:lang w:val="nl-NL"/>
    </w:rPr>
  </w:style>
  <w:style w:type="paragraph" w:styleId="Ttulo9">
    <w:name w:val="heading 9"/>
    <w:basedOn w:val="Normal"/>
    <w:next w:val="Normal"/>
    <w:qFormat/>
    <w:pPr>
      <w:keepNext/>
      <w:numPr>
        <w:numId w:val="2"/>
      </w:numPr>
      <w:autoSpaceDE w:val="0"/>
      <w:autoSpaceDN w:val="0"/>
      <w:spacing w:line="380" w:lineRule="exact"/>
      <w:outlineLvl w:val="8"/>
    </w:pPr>
    <w:rPr>
      <w:rFonts w:ascii="Arial" w:hAnsi="Arial"/>
      <w:spacing w:val="4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es-ES_tradnl"/>
    </w:rPr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rPr>
      <w:rFonts w:ascii="Comic Sans MS" w:hAnsi="Comic Sans MS"/>
      <w:i/>
    </w:rPr>
  </w:style>
  <w:style w:type="paragraph" w:styleId="Sangradetextonormal">
    <w:name w:val="Body Text Indent"/>
    <w:basedOn w:val="Normal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pPr>
      <w:spacing w:before="120" w:line="240" w:lineRule="atLeast"/>
      <w:outlineLvl w:val="0"/>
    </w:pPr>
    <w:rPr>
      <w:rFonts w:ascii="Verdana" w:hAnsi="Verdana"/>
      <w:b/>
      <w:snapToGrid w:val="0"/>
      <w:color w:val="000000"/>
      <w:sz w:val="24"/>
    </w:rPr>
  </w:style>
  <w:style w:type="paragraph" w:styleId="Textoindependiente2">
    <w:name w:val="Body Text 2"/>
    <w:basedOn w:val="Normal"/>
    <w:pPr>
      <w:spacing w:before="240"/>
    </w:pPr>
    <w:rPr>
      <w:rFonts w:ascii="Arial" w:hAnsi="Arial"/>
      <w:spacing w:val="4"/>
    </w:rPr>
  </w:style>
  <w:style w:type="paragraph" w:styleId="Sangra2detindependiente">
    <w:name w:val="Body Text Indent 2"/>
    <w:basedOn w:val="Normal"/>
    <w:pPr>
      <w:ind w:left="1134"/>
    </w:pPr>
    <w:rPr>
      <w:rFonts w:ascii="Arial" w:hAnsi="Arial"/>
    </w:rPr>
  </w:style>
  <w:style w:type="paragraph" w:customStyle="1" w:styleId="Paragraph">
    <w:name w:val="Paragraph"/>
    <w:basedOn w:val="Normal"/>
    <w:pPr>
      <w:spacing w:after="80"/>
    </w:pPr>
    <w:rPr>
      <w:rFonts w:ascii="Century Schoolbook" w:hAnsi="Century Schoolbook"/>
      <w:spacing w:val="3"/>
      <w:lang w:val="en-GB"/>
    </w:rPr>
  </w:style>
  <w:style w:type="paragraph" w:customStyle="1" w:styleId="Epgrafe">
    <w:name w:val="Epígrafe"/>
    <w:basedOn w:val="Normal"/>
    <w:next w:val="Normal"/>
    <w:qFormat/>
    <w:pPr>
      <w:numPr>
        <w:numId w:val="3"/>
      </w:numPr>
      <w:tabs>
        <w:tab w:val="clear" w:pos="885"/>
        <w:tab w:val="num" w:pos="0"/>
      </w:tabs>
      <w:ind w:left="0" w:firstLine="0"/>
      <w:jc w:val="left"/>
    </w:pPr>
    <w:rPr>
      <w:sz w:val="24"/>
      <w:lang w:val="es-ES_tradnl"/>
    </w:rPr>
  </w:style>
  <w:style w:type="paragraph" w:styleId="Textonotaalfinal">
    <w:name w:val="endnote text"/>
    <w:basedOn w:val="Normal"/>
    <w:semiHidden/>
    <w:pPr>
      <w:widowControl w:val="0"/>
      <w:jc w:val="left"/>
    </w:pPr>
    <w:rPr>
      <w:rFonts w:ascii="Courier New" w:hAnsi="Courier New"/>
      <w:sz w:val="24"/>
      <w:lang w:val="en-GB"/>
    </w:rPr>
  </w:style>
  <w:style w:type="paragraph" w:styleId="Sangra3detindependiente">
    <w:name w:val="Body Text Indent 3"/>
    <w:basedOn w:val="Normal"/>
    <w:pPr>
      <w:ind w:left="1170" w:hanging="462"/>
    </w:pPr>
    <w:rPr>
      <w:sz w:val="20"/>
      <w:lang w:val="es-ES_tradnl"/>
    </w:rPr>
  </w:style>
  <w:style w:type="paragraph" w:styleId="Textodebloque">
    <w:name w:val="Block Text"/>
    <w:basedOn w:val="Normal"/>
    <w:pPr>
      <w:ind w:left="113" w:right="113"/>
      <w:jc w:val="center"/>
    </w:pPr>
    <w:rPr>
      <w:rFonts w:ascii="Arial" w:hAnsi="Arial"/>
      <w:b/>
      <w:sz w:val="20"/>
    </w:rPr>
  </w:style>
  <w:style w:type="paragraph" w:customStyle="1" w:styleId="Default">
    <w:name w:val="Default"/>
    <w:rsid w:val="00E163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 w:eastAsia="pt-BR"/>
    </w:rPr>
  </w:style>
  <w:style w:type="paragraph" w:styleId="Textodeglobo">
    <w:name w:val="Balloon Text"/>
    <w:basedOn w:val="Normal"/>
    <w:link w:val="TextodegloboCar"/>
    <w:rsid w:val="00DD028F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DD028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746F16"/>
    <w:rPr>
      <w:rFonts w:ascii="Tahoma" w:hAnsi="Tahoma"/>
      <w:sz w:val="22"/>
      <w:lang w:val="es-ES_tradnl" w:eastAsia="es-ES"/>
    </w:rPr>
  </w:style>
  <w:style w:type="table" w:styleId="Tablaconcuadrcula">
    <w:name w:val="Table Grid"/>
    <w:basedOn w:val="Tablanormal"/>
    <w:rsid w:val="00984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</vt:lpstr>
    </vt:vector>
  </TitlesOfParts>
  <Company>B. VERITAS DE COLOMBIA LTDA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</dc:title>
  <dc:subject/>
  <dc:creator>MERY PATRICIA CAMPUZANO</dc:creator>
  <cp:keywords/>
  <cp:lastModifiedBy>Adriana Lizarazo Olarte</cp:lastModifiedBy>
  <cp:revision>4</cp:revision>
  <cp:lastPrinted>2006-09-01T23:30:00Z</cp:lastPrinted>
  <dcterms:created xsi:type="dcterms:W3CDTF">2021-04-23T12:30:00Z</dcterms:created>
  <dcterms:modified xsi:type="dcterms:W3CDTF">2021-07-13T15:49:00Z</dcterms:modified>
</cp:coreProperties>
</file>