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EVALUACIÓN DE LAS BUENAS PRACTICAS DE MANUFACTURA DE LA PLACITA BAJO LA VERIFICACIÓN DEL CUMPLIMIENTO DE LA RESOLUCIÓN 2674 DE 2013</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PRESENTADO POR:</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PAOLA SUÁREZ</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ESTUDIANTE</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MODULO:</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CONSERVACIÓN Y MANIPULACIÓN DE ALIMENTOS</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UNIDAD:</w:t>
      </w:r>
      <w:bookmarkStart w:id="0" w:name="_GoBack"/>
      <w:bookmarkEnd w:id="0"/>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LEGISLACIÓN SANITARIA</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D955B1" w:rsidRPr="00D955B1" w:rsidRDefault="00D955B1" w:rsidP="00DF0038">
      <w:pPr>
        <w:shd w:val="clear" w:color="auto" w:fill="FFFFFF"/>
        <w:spacing w:after="0" w:line="240" w:lineRule="auto"/>
        <w:jc w:val="center"/>
        <w:rPr>
          <w:rFonts w:ascii="Arial" w:eastAsia="Times New Roman" w:hAnsi="Arial" w:cs="Times New Roman"/>
          <w:spacing w:val="-3"/>
          <w:sz w:val="21"/>
          <w:szCs w:val="21"/>
          <w:lang w:eastAsia="es-MX"/>
        </w:rPr>
      </w:pP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PROFESIONAL GASTRONOMIA VIRTUAL</w:t>
      </w:r>
    </w:p>
    <w:p w:rsidR="003D3E2C" w:rsidRPr="00D955B1" w:rsidRDefault="003D3E2C" w:rsidP="00DF0038">
      <w:pPr>
        <w:shd w:val="clear" w:color="auto" w:fill="FFFFFF"/>
        <w:spacing w:after="0" w:line="240" w:lineRule="auto"/>
        <w:jc w:val="center"/>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2018</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lastRenderedPageBreak/>
        <w:t xml:space="preserve">Teniendo en cuenta la Resolución 2674 de 2013 y lo planteado en </w:t>
      </w:r>
      <w:proofErr w:type="gramStart"/>
      <w:r w:rsidRPr="00D955B1">
        <w:rPr>
          <w:rFonts w:ascii="Arial" w:eastAsia="Times New Roman" w:hAnsi="Arial" w:cs="Times New Roman"/>
          <w:spacing w:val="-3"/>
          <w:sz w:val="21"/>
          <w:szCs w:val="21"/>
          <w:lang w:eastAsia="es-MX"/>
        </w:rPr>
        <w:t>el  recurso</w:t>
      </w:r>
      <w:proofErr w:type="gramEnd"/>
      <w:r w:rsidRPr="00D955B1">
        <w:rPr>
          <w:rFonts w:ascii="Arial" w:eastAsia="Times New Roman" w:hAnsi="Arial" w:cs="Times New Roman"/>
          <w:spacing w:val="-3"/>
          <w:sz w:val="21"/>
          <w:szCs w:val="21"/>
          <w:lang w:eastAsia="es-MX"/>
        </w:rPr>
        <w:t xml:space="preserve"> principal y otros sugeridos, identifique, de acuerdo a la norma, los parámetros que está incumpliendo la plaza de mercado Mi placita. Realicemos propuestas al administrador para solucionar estos problemas.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Entregable:</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Documento que contenga:</w:t>
      </w:r>
    </w:p>
    <w:p w:rsidR="00DF0038" w:rsidRPr="00D955B1" w:rsidRDefault="00DF0038" w:rsidP="00D955B1">
      <w:pPr>
        <w:numPr>
          <w:ilvl w:val="0"/>
          <w:numId w:val="1"/>
        </w:numPr>
        <w:shd w:val="clear" w:color="auto" w:fill="FFFFFF"/>
        <w:spacing w:after="0" w:line="240" w:lineRule="auto"/>
        <w:ind w:left="0"/>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 xml:space="preserve">Parámetros </w:t>
      </w:r>
      <w:proofErr w:type="gramStart"/>
      <w:r w:rsidRPr="00D955B1">
        <w:rPr>
          <w:rFonts w:ascii="Arial" w:eastAsia="Times New Roman" w:hAnsi="Arial" w:cs="Times New Roman"/>
          <w:spacing w:val="-3"/>
          <w:sz w:val="21"/>
          <w:szCs w:val="21"/>
          <w:lang w:eastAsia="es-MX"/>
        </w:rPr>
        <w:t>de acuerdo a</w:t>
      </w:r>
      <w:proofErr w:type="gramEnd"/>
      <w:r w:rsidRPr="00D955B1">
        <w:rPr>
          <w:rFonts w:ascii="Arial" w:eastAsia="Times New Roman" w:hAnsi="Arial" w:cs="Times New Roman"/>
          <w:spacing w:val="-3"/>
          <w:sz w:val="21"/>
          <w:szCs w:val="21"/>
          <w:lang w:eastAsia="es-MX"/>
        </w:rPr>
        <w:t xml:space="preserve"> la norma que está incumpliendo la plaza de mercado.  </w:t>
      </w:r>
      <w:proofErr w:type="gramStart"/>
      <w:r w:rsidRPr="00D955B1">
        <w:rPr>
          <w:rFonts w:ascii="Arial" w:eastAsia="Times New Roman" w:hAnsi="Arial" w:cs="Times New Roman"/>
          <w:spacing w:val="-3"/>
          <w:sz w:val="21"/>
          <w:szCs w:val="21"/>
          <w:lang w:eastAsia="es-MX"/>
        </w:rPr>
        <w:t>Los aspectos a evaluar</w:t>
      </w:r>
      <w:proofErr w:type="gramEnd"/>
      <w:r w:rsidRPr="00D955B1">
        <w:rPr>
          <w:rFonts w:ascii="Arial" w:eastAsia="Times New Roman" w:hAnsi="Arial" w:cs="Times New Roman"/>
          <w:spacing w:val="-3"/>
          <w:sz w:val="21"/>
          <w:szCs w:val="21"/>
          <w:lang w:eastAsia="es-MX"/>
        </w:rPr>
        <w:t xml:space="preserve"> son:</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          </w:t>
      </w:r>
      <w:r w:rsidRPr="00D955B1">
        <w:rPr>
          <w:rFonts w:ascii="Arial" w:eastAsia="Times New Roman" w:hAnsi="Arial" w:cs="Times New Roman"/>
          <w:b/>
          <w:bCs/>
          <w:spacing w:val="-3"/>
          <w:sz w:val="21"/>
          <w:szCs w:val="21"/>
          <w:lang w:eastAsia="es-MX"/>
        </w:rPr>
        <w:t>EDIFICACIONES.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Áreas: los alumnos deben identificar si </w:t>
      </w:r>
      <w:r w:rsidRPr="00D955B1">
        <w:rPr>
          <w:rFonts w:ascii="Arial" w:eastAsia="Times New Roman" w:hAnsi="Arial" w:cs="Times New Roman"/>
          <w:b/>
          <w:bCs/>
          <w:spacing w:val="-3"/>
          <w:sz w:val="21"/>
          <w:szCs w:val="21"/>
          <w:lang w:eastAsia="es-MX"/>
        </w:rPr>
        <w:t>Mi placita</w:t>
      </w:r>
      <w:r w:rsidRPr="00D955B1">
        <w:rPr>
          <w:rFonts w:ascii="Arial" w:eastAsia="Times New Roman" w:hAnsi="Arial" w:cs="Times New Roman"/>
          <w:spacing w:val="-3"/>
          <w:sz w:val="21"/>
          <w:szCs w:val="21"/>
          <w:lang w:eastAsia="es-MX"/>
        </w:rPr>
        <w:t> está divida en áreas y si estas cumplen con el decreto. </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Ambientes: como es cada puesto, si cumple con el decreto.</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Abastecimiento de agua.</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Residuos sólidos.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Instalaciones sanitarias.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Pisos y drenajes.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Paredes.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 </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          </w:t>
      </w:r>
      <w:r w:rsidRPr="00D955B1">
        <w:rPr>
          <w:rFonts w:ascii="Arial" w:eastAsia="Times New Roman" w:hAnsi="Arial" w:cs="Times New Roman"/>
          <w:b/>
          <w:bCs/>
          <w:spacing w:val="-3"/>
          <w:sz w:val="21"/>
          <w:szCs w:val="21"/>
          <w:lang w:eastAsia="es-MX"/>
        </w:rPr>
        <w:t>PERSONAL MANIPULADOR DE ALIMENTOS</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¿Visten adecuadamente?</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¿Cumplen con la higiene básica?</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¿Existe contaminación?</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¿Cumplen el artículo 35?</w:t>
      </w:r>
    </w:p>
    <w:p w:rsidR="00DF0038" w:rsidRPr="00D955B1" w:rsidRDefault="00DF0038" w:rsidP="00D955B1">
      <w:pPr>
        <w:shd w:val="clear" w:color="auto" w:fill="FFFFFF"/>
        <w:spacing w:after="0" w:line="240" w:lineRule="auto"/>
        <w:jc w:val="both"/>
        <w:rPr>
          <w:rFonts w:ascii="Arial" w:eastAsia="Times New Roman" w:hAnsi="Arial" w:cs="Times New Roman"/>
          <w:spacing w:val="-3"/>
          <w:sz w:val="21"/>
          <w:szCs w:val="21"/>
          <w:lang w:eastAsia="es-MX"/>
        </w:rPr>
      </w:pPr>
      <w:r w:rsidRPr="00D955B1">
        <w:rPr>
          <w:rFonts w:ascii="Arial" w:eastAsia="Times New Roman" w:hAnsi="Arial" w:cs="Times New Roman"/>
          <w:spacing w:val="-3"/>
          <w:sz w:val="21"/>
          <w:szCs w:val="21"/>
          <w:lang w:eastAsia="es-MX"/>
        </w:rPr>
        <w:t>El documento debe estar identificado con su nombre, nombre de módulo y unidad.  El documento se debe subir a la plataforma.</w:t>
      </w:r>
    </w:p>
    <w:p w:rsidR="00D955B1" w:rsidRPr="00D955B1" w:rsidRDefault="00D955B1" w:rsidP="00D955B1">
      <w:pPr>
        <w:shd w:val="clear" w:color="auto" w:fill="FFFFFF"/>
        <w:spacing w:after="0" w:line="240" w:lineRule="auto"/>
        <w:jc w:val="both"/>
        <w:rPr>
          <w:rFonts w:ascii="Arial" w:eastAsia="Times New Roman" w:hAnsi="Arial" w:cs="Times New Roman"/>
          <w:spacing w:val="-3"/>
          <w:sz w:val="21"/>
          <w:szCs w:val="21"/>
          <w:lang w:eastAsia="es-MX"/>
        </w:rPr>
      </w:pPr>
    </w:p>
    <w:p w:rsidR="00D955B1" w:rsidRPr="00D955B1" w:rsidRDefault="00D955B1" w:rsidP="00D955B1">
      <w:pPr>
        <w:shd w:val="clear" w:color="auto" w:fill="FFFFFF"/>
        <w:spacing w:after="0" w:line="240" w:lineRule="auto"/>
        <w:jc w:val="both"/>
        <w:rPr>
          <w:rFonts w:ascii="Arial" w:eastAsia="Times New Roman" w:hAnsi="Arial" w:cs="Times New Roman"/>
          <w:spacing w:val="-3"/>
          <w:sz w:val="21"/>
          <w:szCs w:val="21"/>
          <w:lang w:eastAsia="es-MX"/>
        </w:rPr>
      </w:pPr>
    </w:p>
    <w:p w:rsidR="00D955B1" w:rsidRPr="00D955B1" w:rsidRDefault="00D955B1" w:rsidP="00D955B1">
      <w:pPr>
        <w:shd w:val="clear" w:color="auto" w:fill="FFFFFF"/>
        <w:spacing w:after="0" w:line="240" w:lineRule="auto"/>
        <w:jc w:val="both"/>
        <w:rPr>
          <w:rFonts w:ascii="Arial" w:eastAsia="Times New Roman" w:hAnsi="Arial" w:cs="Times New Roman"/>
          <w:spacing w:val="-3"/>
          <w:sz w:val="21"/>
          <w:szCs w:val="21"/>
          <w:lang w:eastAsia="es-MX"/>
        </w:rPr>
      </w:pP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62"/>
        <w:gridCol w:w="3386"/>
        <w:gridCol w:w="1130"/>
        <w:gridCol w:w="370"/>
        <w:gridCol w:w="371"/>
        <w:gridCol w:w="372"/>
        <w:gridCol w:w="2827"/>
      </w:tblGrid>
      <w:tr w:rsidR="00D955B1" w:rsidRPr="00D955B1" w:rsidTr="00D955B1">
        <w:trPr>
          <w:trHeight w:val="302"/>
        </w:trPr>
        <w:tc>
          <w:tcPr>
            <w:tcW w:w="205" w:type="pct"/>
            <w:vMerge w:val="restart"/>
            <w:tcBorders>
              <w:top w:val="single" w:sz="8" w:space="0" w:color="4F81BD"/>
              <w:left w:val="single" w:sz="8" w:space="0" w:color="4F81BD"/>
              <w:bottom w:val="single" w:sz="18" w:space="0" w:color="4F81BD"/>
              <w:right w:val="single" w:sz="8" w:space="0" w:color="4F81BD"/>
            </w:tcBorders>
            <w:shd w:val="clear" w:color="auto" w:fill="DAEEF3"/>
            <w:vAlign w:val="center"/>
          </w:tcPr>
          <w:p w:rsidR="009E4958" w:rsidRPr="00D955B1" w:rsidRDefault="009E4958" w:rsidP="00D955B1">
            <w:pPr>
              <w:spacing w:after="0" w:line="240" w:lineRule="auto"/>
              <w:ind w:left="-148" w:right="-141"/>
              <w:jc w:val="both"/>
              <w:rPr>
                <w:rFonts w:eastAsia="Times New Roman" w:cs="Calibri"/>
                <w:b/>
                <w:bCs/>
                <w:sz w:val="20"/>
                <w:szCs w:val="20"/>
              </w:rPr>
            </w:pPr>
            <w:r w:rsidRPr="00D955B1">
              <w:rPr>
                <w:rFonts w:eastAsia="Times New Roman" w:cs="Calibri"/>
                <w:b/>
                <w:bCs/>
                <w:sz w:val="20"/>
                <w:szCs w:val="20"/>
              </w:rPr>
              <w:t>No.</w:t>
            </w:r>
          </w:p>
        </w:tc>
        <w:tc>
          <w:tcPr>
            <w:tcW w:w="1920" w:type="pct"/>
            <w:vMerge w:val="restart"/>
            <w:tcBorders>
              <w:top w:val="single" w:sz="8" w:space="0" w:color="4F81BD"/>
              <w:left w:val="single" w:sz="8" w:space="0" w:color="4F81BD"/>
              <w:bottom w:val="single" w:sz="18" w:space="0" w:color="4F81BD"/>
              <w:right w:val="single" w:sz="8" w:space="0" w:color="4F81BD"/>
            </w:tcBorders>
            <w:shd w:val="clear" w:color="auto" w:fill="DAEEF3"/>
            <w:vAlign w:val="center"/>
          </w:tcPr>
          <w:p w:rsidR="009E4958" w:rsidRPr="00D955B1" w:rsidRDefault="00D955B1" w:rsidP="00D955B1">
            <w:pPr>
              <w:spacing w:after="0" w:line="240" w:lineRule="auto"/>
              <w:jc w:val="both"/>
              <w:rPr>
                <w:rFonts w:eastAsia="Times New Roman" w:cs="Calibri"/>
                <w:b/>
                <w:bCs/>
                <w:sz w:val="20"/>
                <w:szCs w:val="20"/>
              </w:rPr>
            </w:pPr>
            <w:r w:rsidRPr="00D955B1">
              <w:rPr>
                <w:rFonts w:eastAsia="Times New Roman" w:cs="Calibri"/>
                <w:b/>
                <w:bCs/>
                <w:sz w:val="20"/>
                <w:szCs w:val="20"/>
              </w:rPr>
              <w:t>SITUACIÓN PARA ANALIZAR</w:t>
            </w:r>
          </w:p>
        </w:tc>
        <w:tc>
          <w:tcPr>
            <w:tcW w:w="641" w:type="pct"/>
            <w:vMerge w:val="restart"/>
            <w:tcBorders>
              <w:top w:val="single" w:sz="8" w:space="0" w:color="4F81BD"/>
              <w:left w:val="single" w:sz="8" w:space="0" w:color="4F81BD"/>
              <w:right w:val="single" w:sz="8" w:space="0" w:color="4F81BD"/>
            </w:tcBorders>
            <w:shd w:val="clear" w:color="auto" w:fill="DAEEF3"/>
          </w:tcPr>
          <w:p w:rsidR="009E4958" w:rsidRPr="00D955B1" w:rsidRDefault="009E4958" w:rsidP="00D955B1">
            <w:pPr>
              <w:spacing w:after="0" w:line="240" w:lineRule="auto"/>
              <w:jc w:val="both"/>
              <w:rPr>
                <w:rFonts w:eastAsia="Times New Roman" w:cs="Calibri"/>
                <w:b/>
                <w:bCs/>
                <w:sz w:val="20"/>
                <w:szCs w:val="20"/>
              </w:rPr>
            </w:pPr>
            <w:r w:rsidRPr="00D955B1">
              <w:rPr>
                <w:rFonts w:eastAsia="Times New Roman" w:cs="Calibri"/>
                <w:b/>
                <w:bCs/>
                <w:sz w:val="20"/>
                <w:szCs w:val="20"/>
              </w:rPr>
              <w:t>REQUISITO</w:t>
            </w:r>
            <w:r w:rsidR="00D955B1" w:rsidRPr="00D955B1">
              <w:rPr>
                <w:rFonts w:eastAsia="Times New Roman" w:cs="Calibri"/>
                <w:b/>
                <w:bCs/>
                <w:sz w:val="20"/>
                <w:szCs w:val="20"/>
              </w:rPr>
              <w:t xml:space="preserve"> LEGAL</w:t>
            </w:r>
          </w:p>
        </w:tc>
        <w:tc>
          <w:tcPr>
            <w:tcW w:w="631" w:type="pct"/>
            <w:gridSpan w:val="3"/>
            <w:tcBorders>
              <w:top w:val="single" w:sz="8" w:space="0" w:color="4F81BD"/>
              <w:left w:val="single" w:sz="8" w:space="0" w:color="4F81BD"/>
              <w:bottom w:val="single" w:sz="18" w:space="0" w:color="4F81BD"/>
              <w:right w:val="single" w:sz="8" w:space="0" w:color="4F81BD"/>
            </w:tcBorders>
            <w:shd w:val="clear" w:color="auto" w:fill="DAEEF3"/>
            <w:vAlign w:val="center"/>
          </w:tcPr>
          <w:p w:rsidR="009E4958" w:rsidRPr="00D955B1" w:rsidRDefault="009E4958" w:rsidP="00D955B1">
            <w:pPr>
              <w:spacing w:after="0" w:line="240" w:lineRule="auto"/>
              <w:jc w:val="both"/>
              <w:rPr>
                <w:rFonts w:eastAsia="Times New Roman" w:cs="Calibri"/>
                <w:b/>
                <w:bCs/>
                <w:sz w:val="20"/>
                <w:szCs w:val="20"/>
              </w:rPr>
            </w:pPr>
            <w:r w:rsidRPr="00D955B1">
              <w:rPr>
                <w:rFonts w:eastAsia="Times New Roman" w:cs="Calibri"/>
                <w:b/>
                <w:bCs/>
                <w:sz w:val="20"/>
                <w:szCs w:val="20"/>
              </w:rPr>
              <w:t>HALLAZGO</w:t>
            </w:r>
          </w:p>
        </w:tc>
        <w:tc>
          <w:tcPr>
            <w:tcW w:w="1604" w:type="pct"/>
            <w:vMerge w:val="restart"/>
            <w:tcBorders>
              <w:top w:val="single" w:sz="8" w:space="0" w:color="4F81BD"/>
              <w:left w:val="single" w:sz="8" w:space="0" w:color="4F81BD"/>
              <w:bottom w:val="single" w:sz="18" w:space="0" w:color="4F81BD"/>
              <w:right w:val="single" w:sz="8" w:space="0" w:color="4F81BD"/>
            </w:tcBorders>
            <w:shd w:val="clear" w:color="auto" w:fill="DAEEF3"/>
            <w:vAlign w:val="center"/>
          </w:tcPr>
          <w:p w:rsidR="009E4958" w:rsidRPr="00D955B1" w:rsidRDefault="009E4958" w:rsidP="00D955B1">
            <w:pPr>
              <w:spacing w:after="0" w:line="240" w:lineRule="auto"/>
              <w:jc w:val="both"/>
              <w:rPr>
                <w:rFonts w:eastAsia="Times New Roman" w:cs="Calibri"/>
                <w:b/>
                <w:bCs/>
                <w:sz w:val="20"/>
                <w:szCs w:val="20"/>
              </w:rPr>
            </w:pPr>
            <w:r w:rsidRPr="00D955B1">
              <w:rPr>
                <w:rFonts w:eastAsia="Times New Roman" w:cs="Calibri"/>
                <w:b/>
                <w:bCs/>
                <w:sz w:val="20"/>
                <w:szCs w:val="20"/>
              </w:rPr>
              <w:t>REDACCIÓN NO CONFORMIDAD</w:t>
            </w:r>
          </w:p>
        </w:tc>
      </w:tr>
      <w:tr w:rsidR="00D955B1" w:rsidRPr="00D955B1" w:rsidTr="00D955B1">
        <w:trPr>
          <w:trHeight w:val="145"/>
        </w:trPr>
        <w:tc>
          <w:tcPr>
            <w:tcW w:w="205" w:type="pct"/>
            <w:vMerge/>
            <w:tcBorders>
              <w:top w:val="single" w:sz="8" w:space="0" w:color="4F81BD"/>
              <w:left w:val="single" w:sz="8" w:space="0" w:color="4F81BD"/>
              <w:bottom w:val="single" w:sz="8" w:space="0" w:color="4F81BD"/>
              <w:right w:val="single" w:sz="8" w:space="0" w:color="4F81BD"/>
            </w:tcBorders>
            <w:shd w:val="clear" w:color="auto" w:fill="DAEEF3"/>
          </w:tcPr>
          <w:p w:rsidR="009E4958" w:rsidRPr="00D955B1" w:rsidRDefault="009E4958" w:rsidP="00D955B1">
            <w:pPr>
              <w:spacing w:after="0" w:line="240" w:lineRule="auto"/>
              <w:jc w:val="both"/>
              <w:rPr>
                <w:rFonts w:ascii="Cambria" w:eastAsia="Times New Roman" w:hAnsi="Cambria"/>
                <w:b/>
                <w:bCs/>
              </w:rPr>
            </w:pPr>
          </w:p>
        </w:tc>
        <w:tc>
          <w:tcPr>
            <w:tcW w:w="1920" w:type="pct"/>
            <w:vMerge/>
            <w:tcBorders>
              <w:top w:val="single" w:sz="8" w:space="0" w:color="4F81BD"/>
              <w:left w:val="single" w:sz="8" w:space="0" w:color="4F81BD"/>
              <w:bottom w:val="single" w:sz="8" w:space="0" w:color="4F81BD"/>
              <w:right w:val="single" w:sz="8" w:space="0" w:color="4F81BD"/>
            </w:tcBorders>
            <w:shd w:val="clear" w:color="auto" w:fill="DAEEF3"/>
          </w:tcPr>
          <w:p w:rsidR="009E4958" w:rsidRPr="00D955B1" w:rsidRDefault="009E4958" w:rsidP="00D955B1">
            <w:pPr>
              <w:spacing w:after="0" w:line="240" w:lineRule="auto"/>
              <w:jc w:val="both"/>
            </w:pPr>
          </w:p>
        </w:tc>
        <w:tc>
          <w:tcPr>
            <w:tcW w:w="641" w:type="pct"/>
            <w:vMerge/>
            <w:tcBorders>
              <w:left w:val="single" w:sz="8" w:space="0" w:color="4F81BD"/>
              <w:bottom w:val="single" w:sz="8" w:space="0" w:color="4F81BD"/>
              <w:right w:val="single" w:sz="8" w:space="0" w:color="4F81BD"/>
            </w:tcBorders>
            <w:shd w:val="clear" w:color="auto" w:fill="D3DFEE"/>
          </w:tcPr>
          <w:p w:rsidR="009E4958" w:rsidRPr="00D955B1" w:rsidRDefault="009E4958" w:rsidP="00D955B1">
            <w:pPr>
              <w:spacing w:after="0" w:line="240" w:lineRule="auto"/>
              <w:ind w:left="-108" w:right="-108"/>
              <w:jc w:val="both"/>
              <w:rPr>
                <w:b/>
                <w:sz w:val="18"/>
                <w:szCs w:val="18"/>
              </w:rPr>
            </w:pPr>
          </w:p>
        </w:tc>
        <w:tc>
          <w:tcPr>
            <w:tcW w:w="210" w:type="pct"/>
            <w:tcBorders>
              <w:top w:val="single" w:sz="8" w:space="0" w:color="4F81BD"/>
              <w:left w:val="single" w:sz="8" w:space="0" w:color="4F81BD"/>
              <w:bottom w:val="single" w:sz="8" w:space="0" w:color="4F81BD"/>
              <w:right w:val="single" w:sz="8" w:space="0" w:color="4F81BD"/>
            </w:tcBorders>
            <w:shd w:val="clear" w:color="auto" w:fill="D3DFEE"/>
          </w:tcPr>
          <w:p w:rsidR="009E4958" w:rsidRPr="00D955B1" w:rsidRDefault="009E4958" w:rsidP="00D955B1">
            <w:pPr>
              <w:spacing w:after="0" w:line="240" w:lineRule="auto"/>
              <w:ind w:left="-108" w:right="-108"/>
              <w:jc w:val="both"/>
              <w:rPr>
                <w:b/>
                <w:sz w:val="18"/>
                <w:szCs w:val="18"/>
              </w:rPr>
            </w:pPr>
            <w:r w:rsidRPr="00D955B1">
              <w:rPr>
                <w:b/>
                <w:sz w:val="18"/>
                <w:szCs w:val="18"/>
              </w:rPr>
              <w:t>C</w:t>
            </w:r>
          </w:p>
        </w:tc>
        <w:tc>
          <w:tcPr>
            <w:tcW w:w="210" w:type="pct"/>
            <w:tcBorders>
              <w:top w:val="single" w:sz="8" w:space="0" w:color="4F81BD"/>
              <w:left w:val="single" w:sz="8" w:space="0" w:color="4F81BD"/>
              <w:bottom w:val="single" w:sz="8" w:space="0" w:color="4F81BD"/>
              <w:right w:val="single" w:sz="8" w:space="0" w:color="4F81BD"/>
            </w:tcBorders>
            <w:shd w:val="clear" w:color="auto" w:fill="D3DFEE"/>
          </w:tcPr>
          <w:p w:rsidR="009E4958" w:rsidRPr="00D955B1" w:rsidRDefault="009E4958" w:rsidP="00D955B1">
            <w:pPr>
              <w:spacing w:after="0" w:line="240" w:lineRule="auto"/>
              <w:ind w:left="-158" w:right="-108"/>
              <w:jc w:val="both"/>
              <w:rPr>
                <w:b/>
                <w:sz w:val="18"/>
                <w:szCs w:val="18"/>
              </w:rPr>
            </w:pPr>
            <w:r w:rsidRPr="00D955B1">
              <w:rPr>
                <w:b/>
                <w:sz w:val="18"/>
                <w:szCs w:val="18"/>
              </w:rPr>
              <w:t>OBS</w:t>
            </w:r>
          </w:p>
        </w:tc>
        <w:tc>
          <w:tcPr>
            <w:tcW w:w="210" w:type="pct"/>
            <w:tcBorders>
              <w:top w:val="single" w:sz="8" w:space="0" w:color="4F81BD"/>
              <w:left w:val="single" w:sz="8" w:space="0" w:color="4F81BD"/>
              <w:bottom w:val="single" w:sz="8" w:space="0" w:color="4F81BD"/>
              <w:right w:val="single" w:sz="8" w:space="0" w:color="4F81BD"/>
            </w:tcBorders>
            <w:shd w:val="clear" w:color="auto" w:fill="D3DFEE"/>
          </w:tcPr>
          <w:p w:rsidR="009E4958" w:rsidRPr="00D955B1" w:rsidRDefault="009E4958" w:rsidP="00D955B1">
            <w:pPr>
              <w:tabs>
                <w:tab w:val="left" w:pos="351"/>
              </w:tabs>
              <w:spacing w:after="0" w:line="240" w:lineRule="auto"/>
              <w:ind w:left="-108" w:right="-108"/>
              <w:jc w:val="both"/>
              <w:rPr>
                <w:b/>
                <w:sz w:val="18"/>
                <w:szCs w:val="18"/>
              </w:rPr>
            </w:pPr>
            <w:r w:rsidRPr="00D955B1">
              <w:rPr>
                <w:b/>
                <w:sz w:val="18"/>
                <w:szCs w:val="18"/>
              </w:rPr>
              <w:t>NC</w:t>
            </w:r>
          </w:p>
        </w:tc>
        <w:tc>
          <w:tcPr>
            <w:tcW w:w="1604" w:type="pct"/>
            <w:vMerge/>
            <w:tcBorders>
              <w:top w:val="single" w:sz="8" w:space="0" w:color="4F81BD"/>
              <w:left w:val="single" w:sz="8" w:space="0" w:color="4F81BD"/>
              <w:bottom w:val="single" w:sz="8" w:space="0" w:color="4F81BD"/>
              <w:right w:val="single" w:sz="8" w:space="0" w:color="4F81BD"/>
            </w:tcBorders>
            <w:shd w:val="clear" w:color="auto" w:fill="DAEEF3"/>
          </w:tcPr>
          <w:p w:rsidR="009E4958" w:rsidRPr="00D955B1" w:rsidRDefault="009E4958" w:rsidP="00D955B1">
            <w:pPr>
              <w:spacing w:after="0" w:line="240" w:lineRule="auto"/>
              <w:jc w:val="both"/>
            </w:pP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1</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autoSpaceDE w:val="0"/>
              <w:autoSpaceDN w:val="0"/>
              <w:adjustRightInd w:val="0"/>
              <w:spacing w:after="0" w:line="240" w:lineRule="auto"/>
              <w:jc w:val="both"/>
              <w:rPr>
                <w:sz w:val="20"/>
                <w:szCs w:val="20"/>
              </w:rPr>
            </w:pPr>
            <w:r w:rsidRPr="00D955B1">
              <w:rPr>
                <w:sz w:val="20"/>
                <w:szCs w:val="20"/>
              </w:rPr>
              <w:t xml:space="preserve">Cerca de la plaza hay una fábrica de metales, de la cual sale un humo muy negro. También podemos ver unas lindas casas. </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1364BF" w:rsidP="00D955B1">
            <w:pPr>
              <w:spacing w:after="0" w:line="240" w:lineRule="auto"/>
              <w:jc w:val="both"/>
              <w:rPr>
                <w:sz w:val="20"/>
                <w:szCs w:val="20"/>
              </w:rPr>
            </w:pPr>
            <w:r w:rsidRPr="00D955B1">
              <w:rPr>
                <w:rFonts w:ascii="Arial" w:hAnsi="Arial" w:cs="Arial"/>
                <w:i/>
                <w:sz w:val="14"/>
                <w:szCs w:val="14"/>
              </w:rPr>
              <w:t>(numerales 1.1 y 1.3 del artículo 6,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1364BF"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1364BF" w:rsidP="00D955B1">
            <w:pPr>
              <w:spacing w:after="0" w:line="240" w:lineRule="auto"/>
              <w:jc w:val="both"/>
              <w:rPr>
                <w:rFonts w:cstheme="minorHAnsi"/>
                <w:sz w:val="20"/>
                <w:szCs w:val="20"/>
              </w:rPr>
            </w:pPr>
            <w:r w:rsidRPr="00D955B1">
              <w:rPr>
                <w:rFonts w:cstheme="minorHAnsi"/>
                <w:sz w:val="20"/>
                <w:szCs w:val="20"/>
              </w:rPr>
              <w:t xml:space="preserve">Se evidencia contaminante alrededor de la plaza, debido al humo negro que emite la fabrica de metales que se encuentra en su alrededor. </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2</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autoSpaceDE w:val="0"/>
              <w:autoSpaceDN w:val="0"/>
              <w:adjustRightInd w:val="0"/>
              <w:spacing w:after="0" w:line="240" w:lineRule="auto"/>
              <w:jc w:val="both"/>
              <w:rPr>
                <w:sz w:val="20"/>
                <w:szCs w:val="20"/>
              </w:rPr>
            </w:pPr>
            <w:r w:rsidRPr="00D955B1">
              <w:rPr>
                <w:sz w:val="20"/>
                <w:szCs w:val="20"/>
              </w:rPr>
              <w:t>Los techos están construidos con tejas. Son muy altos, y los pisos, que tienen pocos sifones, están en cemento.</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1364BF" w:rsidP="00D955B1">
            <w:pPr>
              <w:spacing w:after="0" w:line="240" w:lineRule="auto"/>
              <w:jc w:val="both"/>
              <w:rPr>
                <w:sz w:val="20"/>
                <w:szCs w:val="20"/>
              </w:rPr>
            </w:pPr>
            <w:r w:rsidRPr="00D955B1">
              <w:rPr>
                <w:rFonts w:ascii="Arial" w:hAnsi="Arial" w:cs="Arial"/>
                <w:i/>
                <w:sz w:val="14"/>
                <w:szCs w:val="14"/>
              </w:rPr>
              <w:t>(numerales 1.1</w:t>
            </w:r>
            <w:r w:rsidRPr="00D955B1">
              <w:rPr>
                <w:rFonts w:ascii="Arial" w:hAnsi="Arial" w:cs="Arial"/>
                <w:i/>
                <w:sz w:val="14"/>
                <w:szCs w:val="14"/>
              </w:rPr>
              <w:t>,</w:t>
            </w:r>
            <w:r w:rsidRPr="00D955B1">
              <w:rPr>
                <w:rFonts w:ascii="Arial" w:hAnsi="Arial" w:cs="Arial"/>
                <w:i/>
                <w:sz w:val="14"/>
                <w:szCs w:val="14"/>
              </w:rPr>
              <w:t xml:space="preserve"> 1.2</w:t>
            </w:r>
            <w:r w:rsidRPr="00D955B1">
              <w:rPr>
                <w:rFonts w:ascii="Arial" w:hAnsi="Arial" w:cs="Arial"/>
                <w:i/>
                <w:sz w:val="14"/>
                <w:szCs w:val="14"/>
              </w:rPr>
              <w:t>, 1,4, 3,1</w:t>
            </w:r>
            <w:r w:rsidRPr="00D955B1">
              <w:rPr>
                <w:rFonts w:ascii="Arial" w:hAnsi="Arial" w:cs="Arial"/>
                <w:i/>
                <w:sz w:val="14"/>
                <w:szCs w:val="14"/>
              </w:rPr>
              <w:t xml:space="preserve"> del artículo 7</w:t>
            </w:r>
            <w:proofErr w:type="gramStart"/>
            <w:r w:rsidRPr="00D955B1">
              <w:rPr>
                <w:rFonts w:ascii="Arial" w:hAnsi="Arial" w:cs="Arial"/>
                <w:i/>
                <w:sz w:val="14"/>
                <w:szCs w:val="14"/>
              </w:rPr>
              <w:t>, ,</w:t>
            </w:r>
            <w:proofErr w:type="gramEnd"/>
            <w:r w:rsidRPr="00D955B1">
              <w:rPr>
                <w:rFonts w:ascii="Arial" w:hAnsi="Arial" w:cs="Arial"/>
                <w:i/>
                <w:sz w:val="14"/>
                <w:szCs w:val="14"/>
              </w:rPr>
              <w:t xml:space="preserve"> Resolución 2674 de 2013)</w:t>
            </w:r>
            <w:r w:rsidRPr="00D955B1">
              <w:rPr>
                <w:rFonts w:ascii="Arial" w:hAnsi="Arial" w:cs="Arial"/>
                <w:i/>
                <w:sz w:val="14"/>
                <w:szCs w:val="14"/>
              </w:rPr>
              <w:t xml:space="preserve"> </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sz w:val="20"/>
                <w:szCs w:val="20"/>
              </w:rPr>
              <w:t>x</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1364BF" w:rsidP="00D955B1">
            <w:pPr>
              <w:spacing w:after="0" w:line="240" w:lineRule="auto"/>
              <w:jc w:val="both"/>
              <w:rPr>
                <w:rFonts w:cstheme="minorHAnsi"/>
                <w:sz w:val="20"/>
                <w:szCs w:val="20"/>
              </w:rPr>
            </w:pPr>
            <w:r w:rsidRPr="00D955B1">
              <w:rPr>
                <w:rFonts w:cstheme="minorHAnsi"/>
                <w:sz w:val="20"/>
                <w:szCs w:val="20"/>
              </w:rPr>
              <w:t xml:space="preserve">La instalación </w:t>
            </w:r>
            <w:r w:rsidR="00802BA3" w:rsidRPr="00D955B1">
              <w:rPr>
                <w:rFonts w:cstheme="minorHAnsi"/>
                <w:sz w:val="20"/>
                <w:szCs w:val="20"/>
              </w:rPr>
              <w:t xml:space="preserve">no cuenta con los sifones suficientes para el drenado de estos. </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3D3E2C" w:rsidRPr="00D955B1" w:rsidRDefault="003D3E2C" w:rsidP="00D955B1">
            <w:pPr>
              <w:spacing w:after="0" w:line="240" w:lineRule="auto"/>
              <w:ind w:left="-148"/>
              <w:jc w:val="both"/>
              <w:rPr>
                <w:rFonts w:ascii="Cambria" w:eastAsia="Times New Roman" w:hAnsi="Cambria"/>
                <w:b/>
                <w:bCs/>
                <w:sz w:val="16"/>
                <w:szCs w:val="16"/>
              </w:rPr>
            </w:pPr>
          </w:p>
        </w:tc>
        <w:tc>
          <w:tcPr>
            <w:tcW w:w="1920" w:type="pct"/>
            <w:tcBorders>
              <w:top w:val="single" w:sz="8" w:space="0" w:color="4F81BD"/>
              <w:left w:val="single" w:sz="8" w:space="0" w:color="4F81BD"/>
              <w:bottom w:val="single" w:sz="8" w:space="0" w:color="4F81BD"/>
              <w:right w:val="single" w:sz="8" w:space="0" w:color="4F81BD"/>
            </w:tcBorders>
          </w:tcPr>
          <w:p w:rsidR="003D3E2C" w:rsidRPr="00D955B1" w:rsidRDefault="003D3E2C" w:rsidP="00D955B1">
            <w:pPr>
              <w:autoSpaceDE w:val="0"/>
              <w:autoSpaceDN w:val="0"/>
              <w:adjustRightInd w:val="0"/>
              <w:spacing w:after="0" w:line="240" w:lineRule="auto"/>
              <w:jc w:val="both"/>
              <w:rPr>
                <w:sz w:val="20"/>
                <w:szCs w:val="20"/>
              </w:rPr>
            </w:pPr>
            <w:r w:rsidRPr="00D955B1">
              <w:rPr>
                <w:sz w:val="20"/>
                <w:szCs w:val="20"/>
              </w:rPr>
              <w:t xml:space="preserve">Paredes construidas con ladrillo y división de las áreas de: Almacenamiento de productos, basuras y baños, divididos con mallas </w:t>
            </w:r>
            <w:proofErr w:type="spellStart"/>
            <w:r w:rsidRPr="00D955B1">
              <w:rPr>
                <w:sz w:val="20"/>
                <w:szCs w:val="20"/>
              </w:rPr>
              <w:t>metalicos</w:t>
            </w:r>
            <w:proofErr w:type="spellEnd"/>
            <w:r w:rsidRPr="00D955B1">
              <w:rPr>
                <w:sz w:val="20"/>
                <w:szCs w:val="20"/>
              </w:rPr>
              <w:t>.</w:t>
            </w:r>
          </w:p>
        </w:tc>
        <w:tc>
          <w:tcPr>
            <w:tcW w:w="641" w:type="pct"/>
            <w:tcBorders>
              <w:top w:val="single" w:sz="8" w:space="0" w:color="4F81BD"/>
              <w:left w:val="single" w:sz="8" w:space="0" w:color="4F81BD"/>
              <w:bottom w:val="single" w:sz="8" w:space="0" w:color="4F81BD"/>
              <w:right w:val="single" w:sz="8" w:space="0" w:color="4F81BD"/>
            </w:tcBorders>
          </w:tcPr>
          <w:p w:rsidR="003D3E2C" w:rsidRPr="00D955B1" w:rsidRDefault="00802BA3" w:rsidP="00D955B1">
            <w:pPr>
              <w:spacing w:after="0" w:line="240" w:lineRule="auto"/>
              <w:jc w:val="both"/>
              <w:rPr>
                <w:sz w:val="20"/>
                <w:szCs w:val="20"/>
              </w:rPr>
            </w:pPr>
            <w:r w:rsidRPr="00D955B1">
              <w:rPr>
                <w:rFonts w:ascii="Arial" w:hAnsi="Arial" w:cs="Arial"/>
                <w:i/>
                <w:sz w:val="14"/>
                <w:szCs w:val="14"/>
              </w:rPr>
              <w:t>(numeral 2.1 del artículo 7,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3D3E2C" w:rsidRPr="00D955B1" w:rsidRDefault="003D3E2C"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3D3E2C" w:rsidRPr="00D955B1" w:rsidRDefault="003D3E2C"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3D3E2C" w:rsidRPr="00D955B1" w:rsidRDefault="00802BA3"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3D3E2C" w:rsidRPr="00D955B1" w:rsidRDefault="00802BA3" w:rsidP="00D955B1">
            <w:pPr>
              <w:spacing w:after="0" w:line="240" w:lineRule="auto"/>
              <w:jc w:val="both"/>
              <w:rPr>
                <w:rFonts w:cstheme="minorHAnsi"/>
                <w:sz w:val="20"/>
                <w:szCs w:val="20"/>
              </w:rPr>
            </w:pPr>
            <w:r w:rsidRPr="00D955B1">
              <w:rPr>
                <w:rFonts w:cstheme="minorHAnsi"/>
                <w:sz w:val="20"/>
                <w:szCs w:val="20"/>
              </w:rPr>
              <w:t>Las paredes no cuentan con las condiciones mínimas para prevenir la anidación o ingreso de plagas de un área a otro</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3</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autoSpaceDE w:val="0"/>
              <w:autoSpaceDN w:val="0"/>
              <w:adjustRightInd w:val="0"/>
              <w:spacing w:after="0" w:line="240" w:lineRule="auto"/>
              <w:jc w:val="both"/>
              <w:rPr>
                <w:sz w:val="20"/>
                <w:szCs w:val="20"/>
              </w:rPr>
            </w:pPr>
            <w:r w:rsidRPr="00D955B1">
              <w:rPr>
                <w:sz w:val="20"/>
                <w:szCs w:val="20"/>
              </w:rPr>
              <w:t>Los pescados frescos los tienen en hielo fuera</w:t>
            </w:r>
            <w:r w:rsidR="000130DE" w:rsidRPr="00D955B1">
              <w:rPr>
                <w:sz w:val="20"/>
                <w:szCs w:val="20"/>
              </w:rPr>
              <w:t xml:space="preserve"> de la nevera. Las carnes están colgadas y, </w:t>
            </w:r>
            <w:proofErr w:type="spellStart"/>
            <w:r w:rsidR="000130DE" w:rsidRPr="00D955B1">
              <w:rPr>
                <w:sz w:val="20"/>
                <w:szCs w:val="20"/>
              </w:rPr>
              <w:t>aveces</w:t>
            </w:r>
            <w:proofErr w:type="spellEnd"/>
            <w:r w:rsidR="000130DE" w:rsidRPr="00D955B1">
              <w:rPr>
                <w:sz w:val="20"/>
                <w:szCs w:val="20"/>
              </w:rPr>
              <w:t>, rozan el piso mientras la cortan en piezas y las organizan en las neveras</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rFonts w:ascii="Arial" w:hAnsi="Arial" w:cs="Arial"/>
                <w:i/>
                <w:sz w:val="14"/>
                <w:szCs w:val="14"/>
              </w:rPr>
              <w:t>(numeral 1 del artículo 18,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rFonts w:cstheme="minorHAnsi"/>
                <w:sz w:val="20"/>
                <w:szCs w:val="20"/>
              </w:rPr>
            </w:pPr>
            <w:r w:rsidRPr="00D955B1">
              <w:rPr>
                <w:rFonts w:cstheme="minorHAnsi"/>
                <w:sz w:val="20"/>
                <w:szCs w:val="20"/>
              </w:rPr>
              <w:t xml:space="preserve">El proceso de </w:t>
            </w:r>
            <w:proofErr w:type="spellStart"/>
            <w:r w:rsidRPr="00D955B1">
              <w:rPr>
                <w:rFonts w:cstheme="minorHAnsi"/>
                <w:sz w:val="20"/>
                <w:szCs w:val="20"/>
              </w:rPr>
              <w:t>porcionamiento</w:t>
            </w:r>
            <w:proofErr w:type="spellEnd"/>
            <w:r w:rsidRPr="00D955B1">
              <w:rPr>
                <w:rFonts w:cstheme="minorHAnsi"/>
                <w:sz w:val="20"/>
                <w:szCs w:val="20"/>
              </w:rPr>
              <w:t xml:space="preserve"> del alimento NO se realiza en óptimas condiciones sanitarias que garantizan la protección y conservación del alimento.</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4</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r w:rsidRPr="00D955B1">
              <w:rPr>
                <w:sz w:val="20"/>
                <w:szCs w:val="20"/>
              </w:rPr>
              <w:t xml:space="preserve">En el área de carnes y pescados, los sifones son grandes y las paredes son en baldosa blanca, están separados por rejas, expuestos al medio ambiente, </w:t>
            </w:r>
            <w:r w:rsidRPr="00D955B1">
              <w:rPr>
                <w:sz w:val="20"/>
                <w:szCs w:val="20"/>
              </w:rPr>
              <w:lastRenderedPageBreak/>
              <w:t xml:space="preserve">mientras son arreglados </w:t>
            </w:r>
            <w:proofErr w:type="gramStart"/>
            <w:r w:rsidRPr="00D955B1">
              <w:rPr>
                <w:sz w:val="20"/>
                <w:szCs w:val="20"/>
              </w:rPr>
              <w:t>para  guardarlos</w:t>
            </w:r>
            <w:proofErr w:type="gramEnd"/>
            <w:r w:rsidRPr="00D955B1">
              <w:rPr>
                <w:sz w:val="20"/>
                <w:szCs w:val="20"/>
              </w:rPr>
              <w:t xml:space="preserve"> en la nevera.</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rFonts w:ascii="Arial" w:hAnsi="Arial" w:cs="Arial"/>
                <w:i/>
                <w:sz w:val="14"/>
                <w:szCs w:val="14"/>
              </w:rPr>
              <w:lastRenderedPageBreak/>
              <w:t>(numeral 2.1 del artículo 7, Resolución 2674 de 2013)</w:t>
            </w:r>
            <w:r w:rsidRPr="00D955B1">
              <w:rPr>
                <w:rFonts w:ascii="Arial" w:hAnsi="Arial" w:cs="Arial"/>
                <w:i/>
                <w:sz w:val="14"/>
                <w:szCs w:val="14"/>
              </w:rPr>
              <w:t xml:space="preserve"> </w:t>
            </w:r>
            <w:r w:rsidRPr="00D955B1">
              <w:rPr>
                <w:rFonts w:ascii="Arial" w:hAnsi="Arial" w:cs="Arial"/>
                <w:i/>
                <w:sz w:val="14"/>
                <w:szCs w:val="14"/>
              </w:rPr>
              <w:t>(numeral 1</w:t>
            </w:r>
            <w:r w:rsidRPr="00D955B1">
              <w:rPr>
                <w:rFonts w:ascii="Arial" w:hAnsi="Arial" w:cs="Arial"/>
                <w:i/>
                <w:sz w:val="14"/>
                <w:szCs w:val="14"/>
              </w:rPr>
              <w:t xml:space="preserve"> y 2</w:t>
            </w:r>
            <w:r w:rsidRPr="00D955B1">
              <w:rPr>
                <w:rFonts w:ascii="Arial" w:hAnsi="Arial" w:cs="Arial"/>
                <w:i/>
                <w:sz w:val="14"/>
                <w:szCs w:val="14"/>
              </w:rPr>
              <w:t xml:space="preserve"> del artículo 18,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rFonts w:cstheme="minorHAnsi"/>
                <w:sz w:val="20"/>
                <w:szCs w:val="20"/>
              </w:rPr>
            </w:pPr>
            <w:r w:rsidRPr="00D955B1">
              <w:rPr>
                <w:rFonts w:cstheme="minorHAnsi"/>
                <w:sz w:val="20"/>
                <w:szCs w:val="20"/>
              </w:rPr>
              <w:t>No se cuentan con las condiciones apro</w:t>
            </w:r>
            <w:r w:rsidR="00D955B1">
              <w:rPr>
                <w:rFonts w:cstheme="minorHAnsi"/>
                <w:sz w:val="20"/>
                <w:szCs w:val="20"/>
              </w:rPr>
              <w:t>p</w:t>
            </w:r>
            <w:r w:rsidRPr="00D955B1">
              <w:rPr>
                <w:rFonts w:cstheme="minorHAnsi"/>
                <w:sz w:val="20"/>
                <w:szCs w:val="20"/>
              </w:rPr>
              <w:t xml:space="preserve">iadas para evitar el ingreso de contaminantes del área externa; los productos son expuestos a </w:t>
            </w:r>
            <w:r w:rsidRPr="00D955B1">
              <w:rPr>
                <w:rFonts w:cstheme="minorHAnsi"/>
                <w:sz w:val="20"/>
                <w:szCs w:val="20"/>
              </w:rPr>
              <w:lastRenderedPageBreak/>
              <w:t>temperatura y condiciones ambientales No favorables.</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lastRenderedPageBreak/>
              <w:t>5</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r w:rsidRPr="00D955B1">
              <w:rPr>
                <w:sz w:val="20"/>
                <w:szCs w:val="20"/>
              </w:rPr>
              <w:t xml:space="preserve">Las personas tienen ropa normal </w:t>
            </w:r>
            <w:proofErr w:type="gramStart"/>
            <w:r w:rsidRPr="00D955B1">
              <w:rPr>
                <w:sz w:val="20"/>
                <w:szCs w:val="20"/>
              </w:rPr>
              <w:t>( no</w:t>
            </w:r>
            <w:proofErr w:type="gramEnd"/>
            <w:r w:rsidRPr="00D955B1">
              <w:rPr>
                <w:sz w:val="20"/>
                <w:szCs w:val="20"/>
              </w:rPr>
              <w:t xml:space="preserve"> tienen uniforme), la mayoría esta sucia. Sus manos también están sucias y cogen los alimentos y el dinero sin diferenciar.</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sz w:val="20"/>
                <w:szCs w:val="20"/>
              </w:rPr>
            </w:pPr>
            <w:r w:rsidRPr="00D955B1">
              <w:rPr>
                <w:rFonts w:ascii="Arial" w:hAnsi="Arial" w:cs="Arial"/>
                <w:i/>
                <w:sz w:val="14"/>
                <w:szCs w:val="14"/>
              </w:rPr>
              <w:t>(numerales 2</w:t>
            </w:r>
            <w:r w:rsidRPr="00D955B1">
              <w:rPr>
                <w:rFonts w:ascii="Arial" w:hAnsi="Arial" w:cs="Arial"/>
                <w:i/>
                <w:sz w:val="14"/>
                <w:szCs w:val="14"/>
              </w:rPr>
              <w:t>, 4</w:t>
            </w:r>
            <w:r w:rsidR="00533B0D" w:rsidRPr="00D955B1">
              <w:rPr>
                <w:rFonts w:ascii="Arial" w:hAnsi="Arial" w:cs="Arial"/>
                <w:i/>
                <w:sz w:val="14"/>
                <w:szCs w:val="14"/>
              </w:rPr>
              <w:t>,7, 8</w:t>
            </w:r>
            <w:r w:rsidRPr="00D955B1">
              <w:rPr>
                <w:rFonts w:ascii="Arial" w:hAnsi="Arial" w:cs="Arial"/>
                <w:i/>
                <w:sz w:val="14"/>
                <w:szCs w:val="14"/>
              </w:rPr>
              <w:t xml:space="preserve"> y 9 del artículo 14</w:t>
            </w:r>
            <w:r w:rsidR="00533B0D" w:rsidRPr="00D955B1">
              <w:rPr>
                <w:rFonts w:ascii="Arial" w:hAnsi="Arial" w:cs="Arial"/>
                <w:i/>
                <w:sz w:val="14"/>
                <w:szCs w:val="14"/>
              </w:rPr>
              <w:t xml:space="preserve">, </w:t>
            </w:r>
            <w:r w:rsidR="00533B0D" w:rsidRPr="00D955B1">
              <w:rPr>
                <w:rFonts w:ascii="Arial" w:hAnsi="Arial" w:cs="Arial"/>
                <w:i/>
                <w:sz w:val="14"/>
                <w:szCs w:val="14"/>
              </w:rPr>
              <w:t>numeral 3 del artículo 18</w:t>
            </w:r>
            <w:proofErr w:type="gramStart"/>
            <w:r w:rsidRPr="00D955B1">
              <w:rPr>
                <w:rFonts w:ascii="Arial" w:hAnsi="Arial" w:cs="Arial"/>
                <w:i/>
                <w:sz w:val="14"/>
                <w:szCs w:val="14"/>
              </w:rPr>
              <w:t>, ,</w:t>
            </w:r>
            <w:proofErr w:type="gramEnd"/>
            <w:r w:rsidRPr="00D955B1">
              <w:rPr>
                <w:rFonts w:ascii="Arial" w:hAnsi="Arial" w:cs="Arial"/>
                <w:i/>
                <w:sz w:val="14"/>
                <w:szCs w:val="14"/>
              </w:rPr>
              <w:t xml:space="preserve">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802BA3" w:rsidP="00D955B1">
            <w:pPr>
              <w:spacing w:after="0" w:line="240" w:lineRule="auto"/>
              <w:jc w:val="both"/>
              <w:rPr>
                <w:rFonts w:cstheme="minorHAnsi"/>
                <w:sz w:val="20"/>
                <w:szCs w:val="20"/>
              </w:rPr>
            </w:pPr>
            <w:r w:rsidRPr="00D955B1">
              <w:rPr>
                <w:rFonts w:cstheme="minorHAnsi"/>
                <w:sz w:val="20"/>
                <w:szCs w:val="20"/>
              </w:rPr>
              <w:t xml:space="preserve">Personal no lleva uniforme adecuado de color claro y limpio y calzado cerrado de material resistente e impermeable; </w:t>
            </w:r>
            <w:r w:rsidR="00533B0D" w:rsidRPr="00D955B1">
              <w:rPr>
                <w:rFonts w:cstheme="minorHAnsi"/>
                <w:sz w:val="20"/>
                <w:szCs w:val="20"/>
              </w:rPr>
              <w:t>Los manipuladores NO se lavan y desinfectan las manos y se evidencia contaminación cruzada en las diferentes etapas del proceso; Las manos no se encuentran limpias, se evidencia el manejo de dinero durante la manipulación de alimentos.</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6</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r w:rsidRPr="00D955B1">
              <w:rPr>
                <w:sz w:val="20"/>
                <w:szCs w:val="20"/>
              </w:rPr>
              <w:t xml:space="preserve">La basura la almacenan en el centro de la plaza en un recipiente grande que cuando se llena, la desocupan en contenedores que están expuestos al medio ambiente. Mientras lo recogen los carros de la basura, todo esta junto </w:t>
            </w:r>
            <w:proofErr w:type="gramStart"/>
            <w:r w:rsidRPr="00D955B1">
              <w:rPr>
                <w:sz w:val="20"/>
                <w:szCs w:val="20"/>
              </w:rPr>
              <w:t>( no</w:t>
            </w:r>
            <w:proofErr w:type="gramEnd"/>
            <w:r w:rsidRPr="00D955B1">
              <w:rPr>
                <w:sz w:val="20"/>
                <w:szCs w:val="20"/>
              </w:rPr>
              <w:t xml:space="preserve"> reciclan).</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rFonts w:ascii="Arial" w:hAnsi="Arial" w:cs="Arial"/>
                <w:i/>
                <w:sz w:val="14"/>
                <w:szCs w:val="14"/>
              </w:rPr>
              <w:t>(numerales 5.3 y 5.4</w:t>
            </w:r>
            <w:r w:rsidRPr="00D955B1">
              <w:rPr>
                <w:rFonts w:ascii="Arial" w:hAnsi="Arial" w:cs="Arial"/>
              </w:rPr>
              <w:t xml:space="preserve"> </w:t>
            </w:r>
            <w:r w:rsidRPr="00D955B1">
              <w:rPr>
                <w:rFonts w:ascii="Arial" w:hAnsi="Arial" w:cs="Arial"/>
                <w:i/>
                <w:sz w:val="14"/>
                <w:szCs w:val="14"/>
              </w:rPr>
              <w:t xml:space="preserve">del artículo 6 </w:t>
            </w:r>
            <w:r w:rsidRPr="00D955B1">
              <w:rPr>
                <w:rFonts w:ascii="Arial" w:hAnsi="Arial" w:cs="Arial"/>
              </w:rPr>
              <w:t xml:space="preserve">- </w:t>
            </w:r>
            <w:r w:rsidRPr="00D955B1">
              <w:rPr>
                <w:rFonts w:ascii="Arial" w:hAnsi="Arial" w:cs="Arial"/>
                <w:i/>
                <w:sz w:val="14"/>
                <w:szCs w:val="14"/>
              </w:rPr>
              <w:t>numeral 2 del artículo 26,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rFonts w:cstheme="minorHAnsi"/>
                <w:sz w:val="20"/>
                <w:szCs w:val="20"/>
              </w:rPr>
            </w:pPr>
            <w:r w:rsidRPr="00D955B1">
              <w:rPr>
                <w:rFonts w:cstheme="minorHAnsi"/>
                <w:sz w:val="20"/>
                <w:szCs w:val="20"/>
              </w:rPr>
              <w:t>NO Existe local o instalación destinada exclusivamente para el depósito temporal de los residuos sólidos (cuarto refrigerado de requerirse), adecuadamente ubicado, identificado, protegido (contra la lluvia y el libre acceso de plagas, animales domésticos y personal no autorizado). Los residuos sólidos se disponen en contenedores expuestos al medio ambiente.</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r w:rsidRPr="00D955B1">
              <w:rPr>
                <w:rFonts w:ascii="Cambria" w:eastAsia="Times New Roman" w:hAnsi="Cambria"/>
                <w:b/>
                <w:bCs/>
                <w:sz w:val="16"/>
                <w:szCs w:val="16"/>
              </w:rPr>
              <w:t>7</w:t>
            </w: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proofErr w:type="spellStart"/>
            <w:r w:rsidRPr="00D955B1">
              <w:rPr>
                <w:sz w:val="20"/>
                <w:szCs w:val="20"/>
              </w:rPr>
              <w:t>Tambien</w:t>
            </w:r>
            <w:proofErr w:type="spellEnd"/>
            <w:r w:rsidRPr="00D955B1">
              <w:rPr>
                <w:sz w:val="20"/>
                <w:szCs w:val="20"/>
              </w:rPr>
              <w:t xml:space="preserve"> hay puestos donde venden granos, aceite, entre otros.</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rFonts w:ascii="Arial" w:hAnsi="Arial" w:cs="Arial"/>
                <w:i/>
                <w:sz w:val="14"/>
                <w:szCs w:val="14"/>
              </w:rPr>
              <w:t>(numerales 2.1 y 2.7 del artículo 6,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rFonts w:cstheme="minorHAnsi"/>
                <w:sz w:val="20"/>
                <w:szCs w:val="20"/>
              </w:rPr>
            </w:pPr>
            <w:r w:rsidRPr="00D955B1">
              <w:rPr>
                <w:rFonts w:cstheme="minorHAnsi"/>
                <w:sz w:val="20"/>
                <w:szCs w:val="20"/>
              </w:rPr>
              <w:t>No se encuentran protegidos de las condiciones medio ambientales.</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r w:rsidRPr="00D955B1">
              <w:rPr>
                <w:sz w:val="20"/>
                <w:szCs w:val="20"/>
              </w:rPr>
              <w:t>Los alimentos están almacenados contra las mallas y lo que son frutas, verduras y hortalizas, las arreglan, les quitan lo que no sirve, lo dejan en el piso y lo organizan.</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rFonts w:ascii="Arial" w:hAnsi="Arial" w:cs="Arial"/>
                <w:i/>
                <w:sz w:val="14"/>
                <w:szCs w:val="14"/>
              </w:rPr>
              <w:t>(numerales 2.1</w:t>
            </w:r>
            <w:r w:rsidRPr="00D955B1">
              <w:rPr>
                <w:rFonts w:ascii="Arial" w:hAnsi="Arial" w:cs="Arial"/>
                <w:i/>
                <w:sz w:val="14"/>
                <w:szCs w:val="14"/>
              </w:rPr>
              <w:t>,</w:t>
            </w:r>
            <w:r w:rsidRPr="00D955B1">
              <w:rPr>
                <w:rFonts w:ascii="Arial" w:hAnsi="Arial" w:cs="Arial"/>
                <w:i/>
                <w:sz w:val="14"/>
                <w:szCs w:val="14"/>
              </w:rPr>
              <w:t xml:space="preserve"> 2.7</w:t>
            </w:r>
            <w:r w:rsidRPr="00D955B1">
              <w:rPr>
                <w:rFonts w:ascii="Arial" w:hAnsi="Arial" w:cs="Arial"/>
                <w:i/>
                <w:sz w:val="14"/>
                <w:szCs w:val="14"/>
              </w:rPr>
              <w:t>, 5.1</w:t>
            </w:r>
            <w:r w:rsidRPr="00D955B1">
              <w:rPr>
                <w:rFonts w:ascii="Arial" w:hAnsi="Arial" w:cs="Arial"/>
                <w:i/>
                <w:sz w:val="14"/>
                <w:szCs w:val="14"/>
              </w:rPr>
              <w:t xml:space="preserve"> del artículo 6, Resolución 2674 de 2013)</w:t>
            </w:r>
            <w:r w:rsidRPr="00D955B1">
              <w:rPr>
                <w:rFonts w:ascii="Arial" w:hAnsi="Arial" w:cs="Arial"/>
                <w:i/>
                <w:sz w:val="14"/>
                <w:szCs w:val="14"/>
              </w:rPr>
              <w:t xml:space="preserve"> </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533B0D" w:rsidP="00D955B1">
            <w:pPr>
              <w:spacing w:after="0" w:line="240" w:lineRule="auto"/>
              <w:jc w:val="both"/>
              <w:rPr>
                <w:rFonts w:cstheme="minorHAnsi"/>
                <w:sz w:val="20"/>
                <w:szCs w:val="20"/>
              </w:rPr>
            </w:pPr>
            <w:r w:rsidRPr="00D955B1">
              <w:rPr>
                <w:rFonts w:cstheme="minorHAnsi"/>
                <w:sz w:val="20"/>
                <w:szCs w:val="20"/>
              </w:rPr>
              <w:t xml:space="preserve">Los alimentos no cuentan con instalaciones adecuadas que permitan su conservación y eviten la contaminación. </w:t>
            </w:r>
          </w:p>
          <w:p w:rsidR="00533B0D" w:rsidRPr="00D955B1" w:rsidRDefault="00533B0D" w:rsidP="00D955B1">
            <w:pPr>
              <w:spacing w:after="0" w:line="240" w:lineRule="auto"/>
              <w:jc w:val="both"/>
              <w:rPr>
                <w:rFonts w:cstheme="minorHAnsi"/>
                <w:sz w:val="20"/>
                <w:szCs w:val="20"/>
              </w:rPr>
            </w:pPr>
            <w:r w:rsidRPr="00D955B1">
              <w:rPr>
                <w:rFonts w:cstheme="minorHAnsi"/>
                <w:sz w:val="20"/>
                <w:szCs w:val="20"/>
              </w:rPr>
              <w:t>Los residuos provenientes de los vegetales no son dispuestos de forma correcta para prevenir la atracción de plagas o contaminación del área</w:t>
            </w:r>
            <w:r w:rsidR="00D955B1" w:rsidRPr="00D955B1">
              <w:rPr>
                <w:rFonts w:cstheme="minorHAnsi"/>
                <w:sz w:val="20"/>
                <w:szCs w:val="20"/>
              </w:rPr>
              <w:t xml:space="preserve"> y representan un riesgo para la contaminación del alimento </w:t>
            </w:r>
            <w:proofErr w:type="gramStart"/>
            <w:r w:rsidR="00D955B1" w:rsidRPr="00D955B1">
              <w:rPr>
                <w:rFonts w:cstheme="minorHAnsi"/>
                <w:sz w:val="20"/>
                <w:szCs w:val="20"/>
              </w:rPr>
              <w:t>y  del</w:t>
            </w:r>
            <w:proofErr w:type="gramEnd"/>
            <w:r w:rsidR="00D955B1" w:rsidRPr="00D955B1">
              <w:rPr>
                <w:rFonts w:cstheme="minorHAnsi"/>
                <w:sz w:val="20"/>
                <w:szCs w:val="20"/>
              </w:rPr>
              <w:t xml:space="preserve"> ambiente</w:t>
            </w:r>
            <w:r w:rsidRPr="00D955B1">
              <w:rPr>
                <w:rFonts w:cstheme="minorHAnsi"/>
                <w:sz w:val="20"/>
                <w:szCs w:val="20"/>
              </w:rPr>
              <w:t xml:space="preserve">. </w:t>
            </w:r>
          </w:p>
        </w:tc>
      </w:tr>
      <w:tr w:rsidR="00D955B1" w:rsidRPr="00D955B1" w:rsidTr="00D955B1">
        <w:trPr>
          <w:trHeight w:val="287"/>
        </w:trPr>
        <w:tc>
          <w:tcPr>
            <w:tcW w:w="205"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ind w:left="-148"/>
              <w:jc w:val="both"/>
              <w:rPr>
                <w:rFonts w:ascii="Cambria" w:eastAsia="Times New Roman" w:hAnsi="Cambria"/>
                <w:b/>
                <w:bCs/>
                <w:sz w:val="16"/>
                <w:szCs w:val="16"/>
              </w:rPr>
            </w:pPr>
          </w:p>
        </w:tc>
        <w:tc>
          <w:tcPr>
            <w:tcW w:w="1920" w:type="pct"/>
            <w:tcBorders>
              <w:top w:val="single" w:sz="8" w:space="0" w:color="4F81BD"/>
              <w:left w:val="single" w:sz="8" w:space="0" w:color="4F81BD"/>
              <w:bottom w:val="single" w:sz="8" w:space="0" w:color="4F81BD"/>
              <w:right w:val="single" w:sz="8" w:space="0" w:color="4F81BD"/>
            </w:tcBorders>
          </w:tcPr>
          <w:p w:rsidR="009E4958" w:rsidRPr="00D955B1" w:rsidRDefault="000130DE" w:rsidP="00D955B1">
            <w:pPr>
              <w:autoSpaceDE w:val="0"/>
              <w:autoSpaceDN w:val="0"/>
              <w:adjustRightInd w:val="0"/>
              <w:spacing w:after="0" w:line="240" w:lineRule="auto"/>
              <w:jc w:val="both"/>
              <w:rPr>
                <w:sz w:val="20"/>
                <w:szCs w:val="20"/>
              </w:rPr>
            </w:pPr>
            <w:r w:rsidRPr="00D955B1">
              <w:rPr>
                <w:sz w:val="20"/>
                <w:szCs w:val="20"/>
              </w:rPr>
              <w:t xml:space="preserve">Hay unos baños </w:t>
            </w:r>
            <w:r w:rsidR="00D955B1" w:rsidRPr="00D955B1">
              <w:rPr>
                <w:sz w:val="20"/>
                <w:szCs w:val="20"/>
              </w:rPr>
              <w:t>cerca de</w:t>
            </w:r>
            <w:r w:rsidRPr="00D955B1">
              <w:rPr>
                <w:sz w:val="20"/>
                <w:szCs w:val="20"/>
              </w:rPr>
              <w:t xml:space="preserve"> donde están los puntos de venta</w:t>
            </w:r>
          </w:p>
        </w:tc>
        <w:tc>
          <w:tcPr>
            <w:tcW w:w="641" w:type="pct"/>
            <w:tcBorders>
              <w:top w:val="single" w:sz="8" w:space="0" w:color="4F81BD"/>
              <w:left w:val="single" w:sz="8" w:space="0" w:color="4F81BD"/>
              <w:bottom w:val="single" w:sz="8" w:space="0" w:color="4F81BD"/>
              <w:right w:val="single" w:sz="8" w:space="0" w:color="4F81BD"/>
            </w:tcBorders>
          </w:tcPr>
          <w:p w:rsidR="009E4958" w:rsidRPr="00D955B1" w:rsidRDefault="00D955B1" w:rsidP="00D955B1">
            <w:pPr>
              <w:spacing w:after="0" w:line="240" w:lineRule="auto"/>
              <w:jc w:val="both"/>
              <w:rPr>
                <w:sz w:val="20"/>
                <w:szCs w:val="20"/>
              </w:rPr>
            </w:pPr>
            <w:r w:rsidRPr="00D955B1">
              <w:rPr>
                <w:rFonts w:ascii="Arial" w:hAnsi="Arial" w:cs="Arial"/>
                <w:i/>
                <w:sz w:val="14"/>
                <w:szCs w:val="14"/>
              </w:rPr>
              <w:t>(numerales 6.1 y 6.2 del artículo 6, Resolución 2674 de 2013)</w:t>
            </w: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9E4958" w:rsidP="00D955B1">
            <w:pPr>
              <w:spacing w:after="0" w:line="240" w:lineRule="auto"/>
              <w:jc w:val="both"/>
              <w:rPr>
                <w:sz w:val="20"/>
                <w:szCs w:val="20"/>
              </w:rPr>
            </w:pPr>
          </w:p>
        </w:tc>
        <w:tc>
          <w:tcPr>
            <w:tcW w:w="210" w:type="pct"/>
            <w:tcBorders>
              <w:top w:val="single" w:sz="8" w:space="0" w:color="4F81BD"/>
              <w:left w:val="single" w:sz="8" w:space="0" w:color="4F81BD"/>
              <w:bottom w:val="single" w:sz="8" w:space="0" w:color="4F81BD"/>
              <w:right w:val="single" w:sz="8" w:space="0" w:color="4F81BD"/>
            </w:tcBorders>
          </w:tcPr>
          <w:p w:rsidR="009E4958" w:rsidRPr="00D955B1" w:rsidRDefault="00D955B1" w:rsidP="00D955B1">
            <w:pPr>
              <w:spacing w:after="0" w:line="240" w:lineRule="auto"/>
              <w:jc w:val="both"/>
              <w:rPr>
                <w:sz w:val="20"/>
                <w:szCs w:val="20"/>
              </w:rPr>
            </w:pPr>
            <w:r w:rsidRPr="00D955B1">
              <w:rPr>
                <w:sz w:val="20"/>
                <w:szCs w:val="20"/>
              </w:rPr>
              <w:t>x</w:t>
            </w:r>
          </w:p>
        </w:tc>
        <w:tc>
          <w:tcPr>
            <w:tcW w:w="1604" w:type="pct"/>
            <w:tcBorders>
              <w:top w:val="single" w:sz="8" w:space="0" w:color="4F81BD"/>
              <w:left w:val="single" w:sz="8" w:space="0" w:color="4F81BD"/>
              <w:bottom w:val="single" w:sz="8" w:space="0" w:color="4F81BD"/>
              <w:right w:val="single" w:sz="8" w:space="0" w:color="4F81BD"/>
            </w:tcBorders>
          </w:tcPr>
          <w:p w:rsidR="009E4958" w:rsidRPr="00D955B1" w:rsidRDefault="00D955B1" w:rsidP="00D955B1">
            <w:pPr>
              <w:spacing w:after="0" w:line="240" w:lineRule="auto"/>
              <w:jc w:val="both"/>
              <w:rPr>
                <w:sz w:val="20"/>
                <w:szCs w:val="20"/>
              </w:rPr>
            </w:pPr>
            <w:r w:rsidRPr="00D955B1">
              <w:rPr>
                <w:sz w:val="20"/>
                <w:szCs w:val="20"/>
              </w:rPr>
              <w:t xml:space="preserve">Los servicios sanitarios no se encuentran bien ubicados. </w:t>
            </w:r>
          </w:p>
        </w:tc>
      </w:tr>
    </w:tbl>
    <w:p w:rsidR="009E4958" w:rsidRDefault="009E4958" w:rsidP="00D955B1">
      <w:pPr>
        <w:jc w:val="both"/>
      </w:pPr>
    </w:p>
    <w:p w:rsidR="00D955B1" w:rsidRPr="00D955B1" w:rsidRDefault="00D955B1" w:rsidP="00D955B1">
      <w:pPr>
        <w:jc w:val="both"/>
      </w:pPr>
      <w:r w:rsidRPr="00D955B1">
        <w:t xml:space="preserve">Las instalaciones físicas de la placita, No cumplen con los requisitos higiénico sanitarios establecidos por la resolución 2674 de 2013 para prevenir contaminación, y obtener alimentos seguros, no cumplen con los requisitos mínimos establecidos en el </w:t>
      </w:r>
      <w:proofErr w:type="spellStart"/>
      <w:r w:rsidRPr="00D955B1">
        <w:t>articulo</w:t>
      </w:r>
      <w:proofErr w:type="spellEnd"/>
      <w:r w:rsidRPr="00D955B1">
        <w:t xml:space="preserve"> 35 de la resolución 2674 de 2013, los </w:t>
      </w:r>
      <w:r w:rsidRPr="00D955B1">
        <w:lastRenderedPageBreak/>
        <w:t xml:space="preserve">manipuladores no cumplen con los requisitos de buenas prácticas de higiene, no tienen uniformes o ropa adecuada para prevenir la contaminación de los alimentos, las instalaciones no cuentan con las barreras físicas suficientes para evitar el ingreso de plagas y otros contaminantes de su área externa.   </w:t>
      </w:r>
    </w:p>
    <w:sectPr w:rsidR="00D955B1" w:rsidRPr="00D95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A4A93"/>
    <w:multiLevelType w:val="multilevel"/>
    <w:tmpl w:val="67A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38"/>
    <w:rsid w:val="000130DE"/>
    <w:rsid w:val="001364BF"/>
    <w:rsid w:val="0027097A"/>
    <w:rsid w:val="003D3E2C"/>
    <w:rsid w:val="00407CD4"/>
    <w:rsid w:val="00533B0D"/>
    <w:rsid w:val="00802BA3"/>
    <w:rsid w:val="009E4958"/>
    <w:rsid w:val="00D955B1"/>
    <w:rsid w:val="00DF00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58C4"/>
  <w15:chartTrackingRefBased/>
  <w15:docId w15:val="{61E62D36-98FD-4FA4-B685-37B296E7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00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F0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Suárez</dc:creator>
  <cp:keywords/>
  <dc:description/>
  <cp:lastModifiedBy>Directora de Calidad</cp:lastModifiedBy>
  <cp:revision>3</cp:revision>
  <dcterms:created xsi:type="dcterms:W3CDTF">2018-05-11T23:15:00Z</dcterms:created>
  <dcterms:modified xsi:type="dcterms:W3CDTF">2018-05-23T23:59:00Z</dcterms:modified>
</cp:coreProperties>
</file>