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5.emf" ContentType="image/x-emf"/>
  <Override PartName="/word/media/image3.wmf" ContentType="image/x-wmf"/>
  <Override PartName="/word/media/image4.wmf" ContentType="image/x-wmf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1.xml" ContentType="application/vnd.openxmlformats-officedocument.theme+xml"/>
  <Override PartName="/word/embeddings/oleObject1.xlsx" ContentType="application/vnd.openxmlformats-officedocument.spreadsheetml.shee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es-CO"/>
        </w:rPr>
        <w:t xml:space="preserve">FUNDAMENTOS  MATEMÁTICAS FINANCIERAS </w:t>
      </w:r>
    </w:p>
    <w:p>
      <w:pPr>
        <w:pStyle w:val="Normal"/>
        <w:jc w:val="center"/>
        <w:rPr/>
      </w:pPr>
      <w:r>
        <w:rPr>
          <w:lang w:val="es-CO"/>
        </w:rPr>
        <w:t xml:space="preserve">UNIDAD 3  ACTIVIDAD  2 </w:t>
      </w:r>
    </w:p>
    <w:p>
      <w:pPr>
        <w:pStyle w:val="Normal"/>
        <w:jc w:val="center"/>
        <w:rPr/>
      </w:pPr>
      <w:r>
        <w:rPr>
          <w:lang w:val="es-CO"/>
        </w:rPr>
        <w:t>VIVIANA HIGUERA  B</w:t>
      </w:r>
    </w:p>
    <w:p>
      <w:pPr>
        <w:pStyle w:val="Normal"/>
        <w:jc w:val="center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Se cuenta con la siguiente lista de personas y préstamos:</w:t>
      </w:r>
    </w:p>
    <w:p>
      <w:pPr>
        <w:pStyle w:val="Normal"/>
        <w:rPr/>
      </w:pPr>
      <w:r>
        <w:rPr/>
        <w:drawing>
          <wp:inline distT="0" distB="9525" distL="0" distR="9525">
            <wp:extent cx="2619375" cy="15716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950" t="28853" r="28377" b="21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  <w:t>Adicionalmente se sabe que estos préstamos tienen una tasa de interés del 2.2 Anual y es capitalizable (Interés compuesto)</w:t>
      </w:r>
    </w:p>
    <w:p>
      <w:pPr>
        <w:pStyle w:val="Normal"/>
        <w:rPr>
          <w:lang w:val="es-CO"/>
        </w:rPr>
      </w:pPr>
      <w:r>
        <w:rPr>
          <w:lang w:val="es-CO"/>
        </w:rPr>
        <w:t>De esta forma entonces vamos a analizar el caso de cada uno de los afiliados que ha solicitado préstamo:</w:t>
      </w:r>
    </w:p>
    <w:tbl>
      <w:tblPr>
        <w:tblStyle w:val="Tabladecuadrcula5oscura-nfasis1"/>
        <w:tblW w:w="84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8"/>
        <w:gridCol w:w="983"/>
        <w:gridCol w:w="1010"/>
        <w:gridCol w:w="928"/>
        <w:gridCol w:w="1065"/>
        <w:gridCol w:w="988"/>
        <w:gridCol w:w="928"/>
        <w:gridCol w:w="928"/>
        <w:gridCol w:w="93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Afiliado</w:t>
            </w:r>
          </w:p>
        </w:tc>
        <w:tc>
          <w:tcPr>
            <w:tcW w:w="983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Acevedo Diego</w:t>
            </w:r>
          </w:p>
        </w:tc>
        <w:tc>
          <w:tcPr>
            <w:tcW w:w="1010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Buitrago Claudia</w:t>
            </w:r>
          </w:p>
        </w:tc>
        <w:tc>
          <w:tcPr>
            <w:tcW w:w="928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Casas Javier</w:t>
            </w:r>
          </w:p>
        </w:tc>
        <w:tc>
          <w:tcPr>
            <w:tcW w:w="1065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Gomez Esperanza</w:t>
            </w:r>
          </w:p>
        </w:tc>
        <w:tc>
          <w:tcPr>
            <w:tcW w:w="988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Vega Jose Maria</w:t>
            </w:r>
          </w:p>
        </w:tc>
        <w:tc>
          <w:tcPr>
            <w:tcW w:w="928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Tinjaca Nelson</w:t>
            </w:r>
          </w:p>
        </w:tc>
        <w:tc>
          <w:tcPr>
            <w:tcW w:w="928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Zarate Julieth</w:t>
            </w:r>
          </w:p>
        </w:tc>
        <w:tc>
          <w:tcPr>
            <w:tcW w:w="939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Zuluaga Tomas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Capital</w:t>
            </w:r>
          </w:p>
        </w:tc>
        <w:tc>
          <w:tcPr>
            <w:tcW w:w="983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4.000.000.00 </w:t>
            </w:r>
          </w:p>
        </w:tc>
        <w:tc>
          <w:tcPr>
            <w:tcW w:w="101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 4.000.000.00 </w:t>
            </w:r>
          </w:p>
        </w:tc>
        <w:tc>
          <w:tcPr>
            <w:tcW w:w="92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2.000.000.00 </w:t>
            </w:r>
          </w:p>
        </w:tc>
        <w:tc>
          <w:tcPr>
            <w:tcW w:w="106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   2.500.000.00 </w:t>
            </w:r>
          </w:p>
        </w:tc>
        <w:tc>
          <w:tcPr>
            <w:tcW w:w="98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1.250.000.00 </w:t>
            </w:r>
          </w:p>
        </w:tc>
        <w:tc>
          <w:tcPr>
            <w:tcW w:w="92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3.500.000.00 </w:t>
            </w:r>
          </w:p>
        </w:tc>
        <w:tc>
          <w:tcPr>
            <w:tcW w:w="92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3.500.000.00 </w:t>
            </w:r>
          </w:p>
        </w:tc>
        <w:tc>
          <w:tcPr>
            <w:tcW w:w="93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5.500.000.00 </w:t>
            </w:r>
          </w:p>
        </w:tc>
      </w:tr>
      <w:tr>
        <w:trPr>
          <w:trHeight w:val="300" w:hRule="atLeast"/>
        </w:trPr>
        <w:tc>
          <w:tcPr>
            <w:tcW w:w="7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Tiempo (n)</w:t>
            </w:r>
          </w:p>
        </w:tc>
        <w:tc>
          <w:tcPr>
            <w:tcW w:w="98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1 año </w:t>
            </w:r>
          </w:p>
        </w:tc>
        <w:tc>
          <w:tcPr>
            <w:tcW w:w="101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6 meses </w:t>
            </w:r>
          </w:p>
        </w:tc>
        <w:tc>
          <w:tcPr>
            <w:tcW w:w="92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2 años </w:t>
            </w:r>
          </w:p>
        </w:tc>
        <w:tc>
          <w:tcPr>
            <w:tcW w:w="1065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3 meses </w:t>
            </w:r>
          </w:p>
        </w:tc>
        <w:tc>
          <w:tcPr>
            <w:tcW w:w="98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10 meses</w:t>
            </w:r>
          </w:p>
        </w:tc>
        <w:tc>
          <w:tcPr>
            <w:tcW w:w="92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15 meses</w:t>
            </w:r>
          </w:p>
        </w:tc>
        <w:tc>
          <w:tcPr>
            <w:tcW w:w="92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18 meses</w:t>
            </w:r>
          </w:p>
        </w:tc>
        <w:tc>
          <w:tcPr>
            <w:tcW w:w="93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20 meses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 xml:space="preserve">Interes </w:t>
            </w:r>
          </w:p>
        </w:tc>
        <w:tc>
          <w:tcPr>
            <w:tcW w:w="983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2.20%</w:t>
            </w:r>
          </w:p>
        </w:tc>
        <w:tc>
          <w:tcPr>
            <w:tcW w:w="101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0.183%</w:t>
            </w:r>
          </w:p>
        </w:tc>
        <w:tc>
          <w:tcPr>
            <w:tcW w:w="92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2.20%</w:t>
            </w:r>
          </w:p>
        </w:tc>
        <w:tc>
          <w:tcPr>
            <w:tcW w:w="106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0.18%</w:t>
            </w:r>
          </w:p>
        </w:tc>
        <w:tc>
          <w:tcPr>
            <w:tcW w:w="98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0.18%</w:t>
            </w:r>
          </w:p>
        </w:tc>
        <w:tc>
          <w:tcPr>
            <w:tcW w:w="92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0.18%</w:t>
            </w:r>
          </w:p>
        </w:tc>
        <w:tc>
          <w:tcPr>
            <w:tcW w:w="92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0.18%</w:t>
            </w:r>
          </w:p>
        </w:tc>
        <w:tc>
          <w:tcPr>
            <w:tcW w:w="93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>0.18%</w:t>
            </w:r>
          </w:p>
        </w:tc>
      </w:tr>
      <w:tr>
        <w:trPr>
          <w:trHeight w:val="300" w:hRule="atLeast"/>
        </w:trPr>
        <w:tc>
          <w:tcPr>
            <w:tcW w:w="7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b/>
                <w:bCs/>
                <w:color w:val="000000"/>
                <w:sz w:val="12"/>
                <w:szCs w:val="12"/>
                <w:lang w:val="es-CO"/>
              </w:rPr>
              <w:t>Monto</w:t>
            </w:r>
          </w:p>
        </w:tc>
        <w:tc>
          <w:tcPr>
            <w:tcW w:w="98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4.088.000.00 </w:t>
            </w:r>
          </w:p>
        </w:tc>
        <w:tc>
          <w:tcPr>
            <w:tcW w:w="1010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 4.044.202.16 </w:t>
            </w:r>
          </w:p>
        </w:tc>
        <w:tc>
          <w:tcPr>
            <w:tcW w:w="92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2.088.968.00 </w:t>
            </w:r>
          </w:p>
        </w:tc>
        <w:tc>
          <w:tcPr>
            <w:tcW w:w="1065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   2.513.775.22 </w:t>
            </w:r>
          </w:p>
        </w:tc>
        <w:tc>
          <w:tcPr>
            <w:tcW w:w="98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  1.273.106.66 </w:t>
            </w:r>
          </w:p>
        </w:tc>
        <w:tc>
          <w:tcPr>
            <w:tcW w:w="92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3.597.495.08 </w:t>
            </w:r>
          </w:p>
        </w:tc>
        <w:tc>
          <w:tcPr>
            <w:tcW w:w="92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3.617.317.60 </w:t>
            </w:r>
          </w:p>
        </w:tc>
        <w:tc>
          <w:tcPr>
            <w:tcW w:w="93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Times New Roman"/>
                <w:color w:val="000000"/>
                <w:sz w:val="12"/>
                <w:szCs w:val="12"/>
                <w:lang w:val="es-CO"/>
              </w:rPr>
            </w:pP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 </w:t>
            </w:r>
            <w:r>
              <w:rPr>
                <w:rFonts w:eastAsia="Times New Roman" w:cs="Times New Roman" w:ascii="Arial Narrow" w:hAnsi="Arial Narrow"/>
                <w:color w:val="000000"/>
                <w:sz w:val="12"/>
                <w:szCs w:val="12"/>
                <w:lang w:val="es-CO"/>
              </w:rPr>
              <w:t xml:space="preserve">$  5.705.217.97 </w:t>
            </w:r>
          </w:p>
        </w:tc>
      </w:tr>
    </w:tbl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En general considerando todos los créditos se prestaron 26.250.000</w:t>
      </w:r>
    </w:p>
    <w:p>
      <w:pPr>
        <w:pStyle w:val="Normal"/>
        <w:rPr>
          <w:lang w:val="es-CO"/>
        </w:rPr>
      </w:pPr>
      <w:r>
        <w:rPr>
          <w:lang w:val="es-CO"/>
        </w:rPr>
        <w:t>Se recolectaron (Asumiendo que todos pagaron a tiempo) 26.928.082</w:t>
      </w:r>
    </w:p>
    <w:p>
      <w:pPr>
        <w:pStyle w:val="Normal"/>
        <w:rPr>
          <w:lang w:val="es-CO"/>
        </w:rPr>
      </w:pPr>
      <w:r>
        <w:rPr>
          <w:lang w:val="es-CO"/>
        </w:rPr>
        <w:t>Eso representa una ganancia de 678.082.68, aproximadamente una ganancia del 3%.</w:t>
      </w:r>
    </w:p>
    <w:p>
      <w:pPr>
        <w:pStyle w:val="Normal"/>
        <w:rPr>
          <w:lang w:val="es-CO"/>
        </w:rPr>
      </w:pPr>
      <w:r>
        <w:rPr>
          <w:lang w:val="es-CO"/>
        </w:rPr>
        <w:t>La tasa de interés entonces contaría con la siguiente información: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Capital: 26.250.000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Monto:26.928.082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Tiempo (Se asume el periodo más largo) 24 meses</w:t>
      </w:r>
    </w:p>
    <w:p>
      <w:pPr>
        <w:pStyle w:val="Normal"/>
        <w:ind w:left="360" w:hanging="0"/>
        <w:rPr>
          <w:lang w:val="es-CO"/>
        </w:rPr>
      </w:pPr>
      <w:r>
        <w:rPr>
          <w:lang w:val="es-CO"/>
        </w:rPr>
        <w:t>La fórmula sería: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tasa</m:t>
        </m:r>
        <m:r>
          <w:rPr>
            <w:rFonts w:ascii="Cambria Math" w:hAnsi="Cambria Math"/>
          </w:rPr>
          <m:t xml:space="preserve">de</m:t>
        </m:r>
        <m:r>
          <w:rPr>
            <w:rFonts w:ascii="Cambria Math" w:hAnsi="Cambria Math"/>
          </w:rPr>
          <m:t xml:space="preserve">interes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24</m:t>
            </m:r>
          </m:deg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26.928</m:t>
                    </m:r>
                    <m:r>
                      <w:rPr>
                        <w:rFonts w:ascii="Cambria Math" w:hAnsi="Cambria Math"/>
                      </w:rPr>
                      <m:t xml:space="preserve">.082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26.250</m:t>
                    </m:r>
                    <m:r>
                      <w:rPr>
                        <w:rFonts w:ascii="Cambria Math" w:hAnsi="Cambria Math"/>
                      </w:rPr>
                      <m:t xml:space="preserve">.000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La tasa de interés de ese capital fue del 0.1066%. En general es una tasa baja pero entendible dado que las cooperativas de empleados suelen manejar rentabilidades bajas. Su principal fuente de ingresos son los aportes de los asociados.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En la siguiente tabla podemos evidenciar el flujo de dinero mes a mes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/>
        <w:drawing>
          <wp:inline distT="0" distB="8255" distL="0" distR="7620">
            <wp:extent cx="5612130" cy="279273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Acá vemos una gráfica del capital recolectado en función del tiempo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/>
        <w:drawing>
          <wp:inline distT="0" distB="0" distL="0" distR="0">
            <wp:extent cx="4572000" cy="27432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Al comparar los datos de los créditos al tener una tasa de interés tan baja las diferencias entre interés simple y complejo no son tan notorias debido a que el incremento mensual es muy pequeño.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Si cambiáramos el ejemplo un poco es mucho más claro.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Tomemos por ejemplo el caso de Nelson Tinjaca, tiene 233.000 pesos y los puede dejar en dos esquemas de rentabilidad, uno con interés simple y otro con interés compuesto. El interés en ambos casos es del 10%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El comportamiento mensual de las inversiones lo vemos en las siguientes tablas: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Interés simple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/>
        <w:drawing>
          <wp:inline distT="0" distB="9525" distL="0" distR="9525">
            <wp:extent cx="5210175" cy="3248025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Como se ve, aunque se acumulan las rentabilidades mensuales no se reinvierten en el capital.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 xml:space="preserve">Al final del ejercicio se obtienen 3.821.200. Lo que representa una rentabilidad de 326.200 pesos lo que equivale a un 9.3% de la inversión 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Interés compuesto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/>
        <w:drawing>
          <wp:inline distT="0" distB="7620" distL="0" distR="7620">
            <wp:extent cx="5612130" cy="2526665"/>
            <wp:effectExtent l="0" t="0" r="0" b="0"/>
            <wp:docPr id="5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En este caso vemos que el dinero de los intereses se reinvierte en el capital. Esto permite un crecimiento mucho más rápido del dinero.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En este caso en particular se obtienen ganancias de 4.648.287 lo que representa una ganancia de un 133%.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Este comportamiento se evidencia mejor en la siguiente gráfica: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/>
        <w:drawing>
          <wp:inline distT="0" distB="0" distL="0" distR="0">
            <wp:extent cx="5410200" cy="3095625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En ella se nota claramente que el interés simple tiene un comportamiento lineal, y en cambio el interés compuesto un comportamiento exponencial.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La diferencia fundamental entre los modelos de interés se da en función del incremento del capital, el interés simple tiene un incremento de capital estable y siempre es el mismo, el interés compuesto genera cada vez más capital y gracias a su comportamiento da rentabilidades mayores.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Entre más alta sea la tasa de interés</w:t>
      </w:r>
      <w:bookmarkStart w:id="0" w:name="_GoBack"/>
      <w:bookmarkEnd w:id="0"/>
      <w:r>
        <w:rPr>
          <w:rFonts w:eastAsia="" w:eastAsiaTheme="minorEastAsia"/>
          <w:lang w:val="es-CO"/>
        </w:rPr>
        <w:t xml:space="preserve"> y/o más plazo tenga la inversión más notoria es la diferencia entre los dos modelos</w:t>
      </w:r>
    </w:p>
    <w:p>
      <w:pPr>
        <w:pStyle w:val="Normal"/>
        <w:ind w:left="360" w:hanging="0"/>
        <w:rPr>
          <w:rFonts w:eastAsia="" w:eastAsiaTheme="minorEastAsia"/>
          <w:lang w:val="es-CO"/>
        </w:rPr>
      </w:pPr>
      <w:r>
        <w:rPr>
          <w:rFonts w:eastAsia="" w:eastAsiaTheme="minorEastAsia"/>
          <w:lang w:val="es-CO"/>
        </w:rPr>
        <w:t>Excel con el desarrollo matemático</w:t>
      </w:r>
    </w:p>
    <w:p>
      <w:pPr>
        <w:pStyle w:val="Normal"/>
        <w:spacing w:before="0" w:after="160"/>
        <w:ind w:left="360" w:hanging="0"/>
        <w:rPr/>
      </w:pPr>
      <w:r>
        <w:rPr/>
        <w:object>
          <v:shape id="ole_rId8" style="width:76.5pt;height:49.5pt" o:ole="">
            <v:imagedata r:id="rId9" o:title=""/>
          </v:shape>
          <o:OLEObject Type="Embed" ProgID="Excel.Sheet.12" ShapeID="ole_rId8" DrawAspect="Icon" ObjectID="_708330493" r:id="rId8"/>
        </w:objec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63b7d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63b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3f353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chart" Target="charts/chart1.xml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chart" Target="charts/chart2.xml"/><Relationship Id="rId8" Type="http://schemas.openxmlformats.org/officeDocument/2006/relationships/package" Target="embeddings/oleObject1.xlsx"/><Relationship Id="rId9" Type="http://schemas.openxmlformats.org/officeDocument/2006/relationships/image" Target="media/image5.e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Capital recolectado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Capital recolectado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numFmt formatCode="&quot; $&quot;* #,##0.00\ ;&quot; $&quot;* \(#,##0.00\);&quot; $&quot;* \-#\ ;\ @\ 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4"/>
                <c:pt idx="0">
                  <c:v>2793144.84543394</c:v>
                </c:pt>
                <c:pt idx="1">
                  <c:v>5586289.69086787</c:v>
                </c:pt>
                <c:pt idx="2">
                  <c:v>8379434.5363018</c:v>
                </c:pt>
                <c:pt idx="3">
                  <c:v>10334654.3071563</c:v>
                </c:pt>
                <c:pt idx="4">
                  <c:v>12289874.0780107</c:v>
                </c:pt>
                <c:pt idx="5">
                  <c:v>14245093.8488652</c:v>
                </c:pt>
                <c:pt idx="6">
                  <c:v>15526279.926335</c:v>
                </c:pt>
                <c:pt idx="7">
                  <c:v>16807466.0038048</c:v>
                </c:pt>
                <c:pt idx="8">
                  <c:v>18088652.0812746</c:v>
                </c:pt>
                <c:pt idx="9">
                  <c:v>19369838.1587444</c:v>
                </c:pt>
                <c:pt idx="10">
                  <c:v>20523713.5705698</c:v>
                </c:pt>
                <c:pt idx="11">
                  <c:v>21677588.9823951</c:v>
                </c:pt>
                <c:pt idx="12">
                  <c:v>22490723.3293572</c:v>
                </c:pt>
                <c:pt idx="13">
                  <c:v>23303857.6763192</c:v>
                </c:pt>
                <c:pt idx="14">
                  <c:v>24116992.0232813</c:v>
                </c:pt>
                <c:pt idx="15">
                  <c:v>24690293.3652055</c:v>
                </c:pt>
                <c:pt idx="16">
                  <c:v>25263594.7071298</c:v>
                </c:pt>
                <c:pt idx="17">
                  <c:v>25836896.049054</c:v>
                </c:pt>
                <c:pt idx="18">
                  <c:v>26209235.3023453</c:v>
                </c:pt>
                <c:pt idx="19">
                  <c:v>26581574.5556366</c:v>
                </c:pt>
                <c:pt idx="20">
                  <c:v>26668652.9105997</c:v>
                </c:pt>
                <c:pt idx="21">
                  <c:v>26755731.2655628</c:v>
                </c:pt>
                <c:pt idx="22">
                  <c:v>26842809.620526</c:v>
                </c:pt>
                <c:pt idx="23">
                  <c:v>26929887.9754891</c:v>
                </c:pt>
              </c:numCache>
            </c:numRef>
          </c:yVal>
          <c:smooth val="0"/>
        </c:ser>
        <c:axId val="22147024"/>
        <c:axId val="76164888"/>
      </c:scatterChart>
      <c:valAx>
        <c:axId val="22147024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Mes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6164888"/>
        <c:crosses val="autoZero"/>
        <c:crossBetween val="midCat"/>
      </c:valAx>
      <c:valAx>
        <c:axId val="7616488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Capital</a:t>
                </a:r>
              </a:p>
            </c:rich>
          </c:tx>
          <c:overlay val="0"/>
        </c:title>
        <c:numFmt formatCode="&quot; $&quot;* #,##0.00\ ;&quot; $&quot;* \(#,##0.00\);&quot; $&quot;* \-#\ ;\ @\ 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214702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Capital Interes simple vs interes Compuesto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 Interes simple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&quot; $&quot;* #,##0.00\ ;&quot; $&quot;* \(#,##0.00\);&quot; $&quot;* \-#\ ;\ @\ 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>233000</c:v>
                </c:pt>
                <c:pt idx="1">
                  <c:v>489300</c:v>
                </c:pt>
                <c:pt idx="2">
                  <c:v>745600</c:v>
                </c:pt>
                <c:pt idx="3">
                  <c:v>1001900</c:v>
                </c:pt>
                <c:pt idx="4">
                  <c:v>1258200</c:v>
                </c:pt>
                <c:pt idx="5">
                  <c:v>1514500</c:v>
                </c:pt>
                <c:pt idx="6">
                  <c:v>1770800</c:v>
                </c:pt>
                <c:pt idx="7">
                  <c:v>2027100</c:v>
                </c:pt>
                <c:pt idx="8">
                  <c:v>2283400</c:v>
                </c:pt>
                <c:pt idx="9">
                  <c:v>2539700</c:v>
                </c:pt>
                <c:pt idx="10">
                  <c:v>2796000</c:v>
                </c:pt>
                <c:pt idx="11">
                  <c:v>3052300</c:v>
                </c:pt>
                <c:pt idx="12">
                  <c:v>3308600</c:v>
                </c:pt>
                <c:pt idx="13">
                  <c:v>3564900</c:v>
                </c:pt>
                <c:pt idx="14">
                  <c:v>3821200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Total interes compuesto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&quot; $&quot;* #,##0.00\ ;&quot; $&quot;* \(#,##0.00\);&quot; $&quot;* \-#\ ;\ @\ 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256300</c:v>
                </c:pt>
                <c:pt idx="1">
                  <c:v>538230</c:v>
                </c:pt>
                <c:pt idx="2">
                  <c:v>848353</c:v>
                </c:pt>
                <c:pt idx="3">
                  <c:v>1189488.3</c:v>
                </c:pt>
                <c:pt idx="4">
                  <c:v>1564737.13</c:v>
                </c:pt>
                <c:pt idx="5">
                  <c:v>1977510.843</c:v>
                </c:pt>
                <c:pt idx="6">
                  <c:v>2431561.9273</c:v>
                </c:pt>
                <c:pt idx="7">
                  <c:v>2931018.12003</c:v>
                </c:pt>
                <c:pt idx="8">
                  <c:v>3480419.932033</c:v>
                </c:pt>
                <c:pt idx="9">
                  <c:v>4084761.9252363</c:v>
                </c:pt>
                <c:pt idx="10">
                  <c:v>4749538.11775993</c:v>
                </c:pt>
                <c:pt idx="11">
                  <c:v>5480791.92953592</c:v>
                </c:pt>
                <c:pt idx="12">
                  <c:v>6285171.12248951</c:v>
                </c:pt>
                <c:pt idx="13">
                  <c:v>7169988.23473847</c:v>
                </c:pt>
                <c:pt idx="14">
                  <c:v>8143287.05821231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8437005"/>
        <c:axId val="87400970"/>
      </c:lineChart>
      <c:catAx>
        <c:axId val="68437005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7400970"/>
        <c:crosses val="autoZero"/>
        <c:auto val="1"/>
        <c:lblAlgn val="ctr"/>
        <c:lblOffset val="100"/>
      </c:catAx>
      <c:valAx>
        <c:axId val="8740097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&quot; $&quot;* #,##0.00\ ;&quot; $&quot;* \(#,##0.00\);&quot; $&quot;* \-#\ ;\ @\ 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843700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LibreOffice/6.0.5.2$Windows_X86_64 LibreOffice_project/54c8cbb85f300ac59db32fe8a675ff7683cd5a16</Application>
  <Pages>5</Pages>
  <Words>541</Words>
  <Characters>2796</Characters>
  <CharactersWithSpaces>3345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2018-07-18T07:39:00Z</dcterms:created>
  <dc:creator>Guillermo Alexander Abondano Bernal</dc:creator>
  <dc:description/>
  <dc:language>es-CO</dc:language>
  <cp:lastModifiedBy/>
  <dcterms:modified xsi:type="dcterms:W3CDTF">2018-07-18T11:25:29Z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