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930397"/>
      <w:bookmarkEnd w:id="0"/>
      <w:r w:rsidRPr="0027211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2C7F926A" wp14:editId="3520B4AA">
            <wp:simplePos x="0" y="0"/>
            <wp:positionH relativeFrom="margin">
              <wp:align>center</wp:align>
            </wp:positionH>
            <wp:positionV relativeFrom="paragraph">
              <wp:posOffset>-509905</wp:posOffset>
            </wp:positionV>
            <wp:extent cx="5008782" cy="183066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5008782" cy="18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ASIGNATURA:</w:t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4213">
        <w:rPr>
          <w:rFonts w:ascii="Times New Roman" w:hAnsi="Times New Roman" w:cs="Times New Roman"/>
          <w:sz w:val="24"/>
          <w:szCs w:val="24"/>
        </w:rPr>
        <w:t>QUÍMICA Y BIOLOGÍA APLICADA</w:t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UNIDAD UNO-</w:t>
      </w:r>
      <w:r>
        <w:rPr>
          <w:rFonts w:ascii="Times New Roman" w:hAnsi="Times New Roman" w:cs="Times New Roman"/>
          <w:sz w:val="24"/>
          <w:szCs w:val="24"/>
        </w:rPr>
        <w:t>INTRODUCCION A LAS CIENCIAS NATURALES Y LA MATERIA</w:t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4213">
        <w:rPr>
          <w:rFonts w:ascii="Times New Roman" w:hAnsi="Times New Roman" w:cs="Times New Roman"/>
          <w:sz w:val="24"/>
          <w:szCs w:val="24"/>
        </w:rPr>
        <w:t>ACTIVIDAD INTEGRADORA: MOMENTO INDEPENDIENTE</w:t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 xml:space="preserve">PRESENTADO POR: </w:t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Nieves Lucia Chinchilla La Rotta</w:t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 xml:space="preserve">DOCENTE: </w:t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4213">
        <w:rPr>
          <w:rFonts w:ascii="Times New Roman" w:hAnsi="Times New Roman" w:cs="Times New Roman"/>
          <w:sz w:val="24"/>
          <w:szCs w:val="24"/>
        </w:rPr>
        <w:t>KATHERINE MONTAÑA OVIEDO</w:t>
      </w: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rPr>
          <w:rFonts w:ascii="Times New Roman" w:hAnsi="Times New Roman" w:cs="Times New Roman"/>
          <w:sz w:val="24"/>
          <w:szCs w:val="24"/>
        </w:rPr>
      </w:pPr>
    </w:p>
    <w:p w:rsidR="00A94213" w:rsidRPr="00272119" w:rsidRDefault="00A94213" w:rsidP="00A942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4213" w:rsidRDefault="00A94213" w:rsidP="00A942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 xml:space="preserve">Miraflores Boyacá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10</w:t>
      </w:r>
      <w:r w:rsidRPr="00272119">
        <w:rPr>
          <w:rFonts w:ascii="Times New Roman" w:hAnsi="Times New Roman" w:cs="Times New Roman"/>
          <w:sz w:val="24"/>
          <w:szCs w:val="24"/>
        </w:rPr>
        <w:t xml:space="preserve"> de </w:t>
      </w:r>
      <w:r w:rsidR="00816FF8" w:rsidRPr="00272119">
        <w:rPr>
          <w:rFonts w:ascii="Times New Roman" w:hAnsi="Times New Roman" w:cs="Times New Roman"/>
          <w:sz w:val="24"/>
          <w:szCs w:val="24"/>
        </w:rPr>
        <w:t>mayo</w:t>
      </w:r>
      <w:r w:rsidRPr="00272119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94213" w:rsidRDefault="00A94213" w:rsidP="00A942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94213" w:rsidRPr="00A94213" w:rsidRDefault="00A94213" w:rsidP="00A942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A9421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CO"/>
        </w:rPr>
        <w:lastRenderedPageBreak/>
        <w:t>Actividad a elaborar:</w:t>
      </w:r>
    </w:p>
    <w:p w:rsidR="00A94213" w:rsidRPr="00A94213" w:rsidRDefault="00A94213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94213" w:rsidRPr="00F57027" w:rsidRDefault="00A94213" w:rsidP="00A942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  <w:lang w:eastAsia="es-CO"/>
        </w:rPr>
      </w:pPr>
      <w:r w:rsidRPr="00A94213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  <w:lang w:eastAsia="es-CO"/>
        </w:rPr>
        <w:t>Seleccionar un sector económico en particular en la que empleen sustancias químicas en los procesos de producción, servicios o ventas, explicar ampliamente la importancia de esta industria en la económica del país.</w:t>
      </w:r>
    </w:p>
    <w:p w:rsid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El sector económico que escogí fue el sector de los hidrocarburos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los cuales según lo investigado son </w:t>
      </w: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compuestos orgánicos formados únicamente por átomos de carbono e hidrógeno. La estructura molecular consiste en un armazón de átomos de carbono a los que se unen los átomos de hidrógeno. Los hidrocarburos son los compuestos básicos de la Química Orgánica.</w:t>
      </w: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El gas natural es un hidrocarburo que puede encontrarse tanto en los subsuelos marinos como continentales y se presenta en un estado gaseoso compuesto de metano principalmente, y de propano y butano en menor medida.</w:t>
      </w: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Los hidrocarburos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en nuestro país </w:t>
      </w: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son una fuente importante de generación de energía para las industrias, para nuestros hogares y para el desarrollo de nuestra vida diaria. Pero no son sólo combustibles, sino que a través de procesos más avanzados se separan sus elementos y se logra su aprovechamiento a través de la industria petroquímica.</w:t>
      </w: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Los hidrocarburos son fuente de energía para el mundo moderno y también un recurso para la fabricación de múltiples materiales con los cuales hacemos nuestra vida más fácil.</w:t>
      </w: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La industria de la petroquímica, ha multiplicado el uso del petróleo en la fabricación de diferentes objetos fabricados con plásticos y fibras sintéti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cas. Muchas cosas</w:t>
      </w: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como lapiceros, la tela de la ropa de baño, las cremas, las pinturas, los insecticidas, muchas partes de las máquinas y de los electrodomésticos, y aún las botellas de gaseosa requieren de la petroquímica para existir.</w:t>
      </w:r>
    </w:p>
    <w:p w:rsidR="00F57027" w:rsidRPr="00F57027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94213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F57027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Las empresas de hidrocarburos modernas realizan una gestión social y ambientalmente responsable; el mejorar la calidad de vida de los pobladores de las zonas donde opera es parte de su gestión de relacionamiento comunitario para evi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tar la contaminación ambiental, lo cual hace que este medio económico sea más amigable con el medio ambiente.</w:t>
      </w:r>
    </w:p>
    <w:p w:rsidR="00F57027" w:rsidRPr="00A94213" w:rsidRDefault="00F57027" w:rsidP="00F570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A94213" w:rsidRPr="00A94213" w:rsidRDefault="00A94213" w:rsidP="00A942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  <w:lang w:eastAsia="es-CO"/>
        </w:rPr>
      </w:pPr>
      <w:r w:rsidRPr="00A94213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  <w:lang w:eastAsia="es-CO"/>
        </w:rPr>
        <w:t>Identificar las diferentes sustancias químicas empleadas en este sector económico y construir una matriz en la que identifiquen los estados de agregación de la materia, propiedades físicas, propiedades químicas y peligros físicos, para la salud o el medio ambiente asociados a las sustancias.</w:t>
      </w:r>
    </w:p>
    <w:p w:rsidR="00A94213" w:rsidRPr="00A94213" w:rsidRDefault="00A94213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A94213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 </w:t>
      </w:r>
    </w:p>
    <w:p w:rsidR="00A94213" w:rsidRPr="00A94213" w:rsidRDefault="00A94213" w:rsidP="00A9421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A9421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CO"/>
        </w:rPr>
        <w:t>Entregable:</w:t>
      </w:r>
    </w:p>
    <w:p w:rsidR="00A94213" w:rsidRPr="00A94213" w:rsidRDefault="00A94213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A94213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 </w:t>
      </w:r>
    </w:p>
    <w:p w:rsidR="00671953" w:rsidRDefault="00A94213" w:rsidP="00A9421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A94213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Construir un archivo en Word, donde se evidencie la importancia del sector económico y la matriz de sustancias químicas teniendo en cuenta los parámetros. El archivo debe contar con citación y referencias bibliográficas de acuerdo a las Normas APA.</w:t>
      </w:r>
    </w:p>
    <w:p w:rsidR="00A94213" w:rsidRDefault="00A94213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C75BAD" w:rsidRDefault="00C75BAD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sectPr w:rsidR="00C75BA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1211"/>
        <w:gridCol w:w="6156"/>
        <w:gridCol w:w="4438"/>
      </w:tblGrid>
      <w:tr w:rsidR="00816FF8" w:rsidRPr="00816FF8" w:rsidTr="00816FF8">
        <w:trPr>
          <w:trHeight w:val="158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783897" w:rsidRPr="00816FF8" w:rsidRDefault="00783897" w:rsidP="0038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lastRenderedPageBreak/>
              <w:t>Producto químico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783897" w:rsidRPr="00816FF8" w:rsidRDefault="00783897" w:rsidP="0038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i/>
                <w:spacing w:val="-3"/>
                <w:sz w:val="18"/>
                <w:szCs w:val="18"/>
                <w:lang w:eastAsia="es-CO"/>
              </w:rPr>
              <w:t>estados de agregación de la materia</w:t>
            </w:r>
          </w:p>
        </w:tc>
        <w:tc>
          <w:tcPr>
            <w:tcW w:w="6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83897" w:rsidRPr="00816FF8" w:rsidRDefault="00783897" w:rsidP="0038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i/>
                <w:spacing w:val="-3"/>
                <w:sz w:val="18"/>
                <w:szCs w:val="18"/>
                <w:lang w:eastAsia="es-CO"/>
              </w:rPr>
              <w:t xml:space="preserve">propiedades físicas y </w:t>
            </w:r>
            <w:r w:rsidR="00382F2C" w:rsidRPr="00816FF8">
              <w:rPr>
                <w:rFonts w:ascii="Times New Roman" w:eastAsia="Times New Roman" w:hAnsi="Times New Roman" w:cs="Times New Roman"/>
                <w:b/>
                <w:i/>
                <w:spacing w:val="-3"/>
                <w:sz w:val="18"/>
                <w:szCs w:val="18"/>
                <w:lang w:eastAsia="es-CO"/>
              </w:rPr>
              <w:t>químicas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783897" w:rsidRPr="00816FF8" w:rsidRDefault="00783897" w:rsidP="0038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i/>
                <w:spacing w:val="-3"/>
                <w:sz w:val="18"/>
                <w:szCs w:val="18"/>
                <w:lang w:eastAsia="es-CO"/>
              </w:rPr>
              <w:t>peligros físicos, para la salud o el medio ambiente asociados a las sustancias</w:t>
            </w:r>
          </w:p>
        </w:tc>
      </w:tr>
      <w:tr w:rsidR="00783897" w:rsidRPr="00816FF8" w:rsidTr="00816FF8">
        <w:trPr>
          <w:trHeight w:val="1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783897" w:rsidRPr="00816FF8" w:rsidRDefault="00783897" w:rsidP="00816FF8">
            <w:pPr>
              <w:pStyle w:val="rteleft"/>
              <w:spacing w:after="240" w:afterAutospacing="0"/>
              <w:jc w:val="center"/>
              <w:rPr>
                <w:b/>
                <w:sz w:val="18"/>
                <w:szCs w:val="18"/>
              </w:rPr>
            </w:pPr>
            <w:r w:rsidRPr="00816FF8">
              <w:rPr>
                <w:rStyle w:val="Textoennegrita"/>
                <w:sz w:val="18"/>
                <w:szCs w:val="18"/>
              </w:rPr>
              <w:t xml:space="preserve">GASOLINA </w:t>
            </w:r>
            <w:r w:rsidRPr="00816FF8">
              <w:rPr>
                <w:b/>
                <w:sz w:val="18"/>
                <w:szCs w:val="18"/>
              </w:rPr>
              <w:t>(mezcla compleja)</w:t>
            </w:r>
          </w:p>
          <w:p w:rsidR="00783897" w:rsidRPr="00816FF8" w:rsidRDefault="00783897" w:rsidP="00816FF8">
            <w:pPr>
              <w:pStyle w:val="rteleft"/>
              <w:spacing w:after="240" w:afterAutospacing="0"/>
              <w:jc w:val="center"/>
              <w:rPr>
                <w:b/>
                <w:sz w:val="18"/>
                <w:szCs w:val="18"/>
              </w:rPr>
            </w:pPr>
            <w:r w:rsidRPr="00816FF8">
              <w:rPr>
                <w:b/>
                <w:sz w:val="18"/>
                <w:szCs w:val="18"/>
              </w:rPr>
              <w:t>Sinónimos: Nafta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Líquido verde claro brillante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Punto de ebullición: Varía entre 50 y 200 °C Densidad del vapor: 2,5-3,7 (aire=1).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 xml:space="preserve">Gravedad específica: 0,72 a 0,76 a 20°C (agua=1). Temperatura de </w:t>
            </w:r>
            <w:r w:rsidR="00816FF8"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auto ignición</w:t>
            </w: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: Corriente: Aprox. 399°C. Extra: Aprox. 454°C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Velocidad de evaporación: Variable. Mayor que 10 (Acetato de butilo=1)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 xml:space="preserve">Temperatura de inflamación: gasolina </w:t>
            </w:r>
            <w:r w:rsidR="00816FF8"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extra: -</w:t>
            </w: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40°C (copa cerrada) Valor de pH: No aplicable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Límites de explosividad: Inferior: entre 0,6% y 1;4%. Superior: entre 7,6% y 8,0%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Umbral de olor: 0,3 ppm. Buen signo de advertencia.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Solubilidad: Prácticamente insoluble en agua (0,1 - 1%). Completamente soluble en éter, cloroformo, etanol y otros solventes del petróleo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H350 Puede provocar cáncer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H304 Puede ser mortal en caso de ingestión y penetración en las vías respiratorias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H340 Puede provocar defectos genéticos</w:t>
            </w:r>
          </w:p>
          <w:p w:rsidR="0055749F" w:rsidRPr="00816FF8" w:rsidRDefault="0055749F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Los derrames de gasolina son tóxicos para peces y flora acuática. No es fácilmente biodegradable. Potencialmente bioacumulable. Volatilización rápida. Evite su entrada a desagües, ríos y otras fuentes de agua. Puede flotar e impedir la oxigenación en cuerpos de agua.</w:t>
            </w:r>
          </w:p>
        </w:tc>
      </w:tr>
      <w:tr w:rsidR="00783897" w:rsidRPr="00816FF8" w:rsidTr="00816FF8">
        <w:trPr>
          <w:trHeight w:val="2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Benceno &lt;1%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Sinónimos: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-Benzol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-Bencina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Líquido incoloro</w:t>
            </w:r>
          </w:p>
        </w:tc>
        <w:tc>
          <w:tcPr>
            <w:tcW w:w="6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Estado físico Líquido Color Incoloro transparente. Incolora a amarillo claro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Olor No disponible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Umbral olfativo 4,68 ppm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pH No disponible Punto de fusión 5.5 ° C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Punto de ebullición 80,1 °C Punto de inflamación Cerrado: -11,1 °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C Tasa de evaporación 5,1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Límites de explosión Mínimo: 1,2%. Máximo: 7,8%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Presión de vapor a 20°C 10 kPa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Densidad relativa de vapor (aire=1) 2,8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Densidad relativa (agua=1) 0,8787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Solubilidad en agua 0,180g/100mL Solubilidad en otros disolventes Miscible en cloroformo, disulfuro de carbono, tetracloruro de carbono, ácido acético glacial, éter dietílico, acetona.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Coeficiente de reparto aceite/agua (Log pow) 2,1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Temperatura de autoinflamación 497,78 ° C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Temperatura de descomposición No disponible</w:t>
            </w:r>
          </w:p>
          <w:p w:rsidR="00783897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Peligro de explosión No disponible Viscosidad No disponible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H225 Líquido y vapores muy inflamables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H350 Puede provocar cáncer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H340 Puede provocar defectos genéticos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H372 Perjudica a determinados órganos por exposición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prolongada o repetida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H304 Puede ser mortal en caso de ingestión y penetración en las vías respiratorias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H319 Provoca irritación ocular grave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H315 Provoca irritación cutánea</w:t>
            </w:r>
          </w:p>
          <w:p w:rsidR="0055749F" w:rsidRPr="00816FF8" w:rsidRDefault="0055749F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El producto presenta toxicidad acuática para los organismos de agua dulce y marinos a bajas concentraciones, aunque vertido al agua, normalmente no permanece en ella demasiado tiempo, debido a su alta volatilidad.</w:t>
            </w:r>
          </w:p>
        </w:tc>
      </w:tr>
      <w:tr w:rsidR="00783897" w:rsidRPr="00816FF8" w:rsidTr="00816FF8">
        <w:trPr>
          <w:trHeight w:val="2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Tolueno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Sinónimos: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-Metilbenceno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-Fenilmetano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Líquido incoloro</w:t>
            </w:r>
          </w:p>
        </w:tc>
        <w:tc>
          <w:tcPr>
            <w:tcW w:w="6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Estado físico: Líquido.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Color: Incoloro.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Olor: Aromático.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Umbral olfativo: 8,02 mg/m³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pH: N/D Punto de fusión / de congelación: -95°C (-139°F)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Punto / intervalo de ebullición: 110,6°C (231,8°F)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Tasa de evaporación: N/D Inflamabilidad: El producto es inflamable.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Punto de inflamación: 4,4°C (39°F) - c.c.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Límites de inflamabilidad: 1,1% - 7,1%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Presión de vapor (20°C): 30,89 hPa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Densidad de vapor (aire=1): 3,18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Densidad (20°C): 0,866 g/cm³ Solubilidad (25°C): 0,587 g/l, en agua.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lastRenderedPageBreak/>
              <w:t xml:space="preserve">Soluble en hidrocarburos. Coef. de reparto (logKo/w): 2,73 Temperatura de autoignición: 480°C (896°F)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Temperatura de descomposición: N/D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Viscosidad cinemática (cP a 25°C): 0,56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Constante de Henry (25°C): 0,00664 atm.m³/mol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Log Koc: 37 - 178 </w:t>
            </w:r>
          </w:p>
          <w:p w:rsidR="00382F2C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 xml:space="preserve">Propiedades explosivas: No explosivo. De acuerdo con la columna 2 del Anexo VII del REACH, este estudio no es necesario porque: en la molécula no hay grupos químicos asociados a propiedades explosivas. </w:t>
            </w:r>
          </w:p>
          <w:p w:rsidR="00783897" w:rsidRPr="00816FF8" w:rsidRDefault="00382F2C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Propiedades comburentes: De acuerdo con la columna 2 del Anexo VII del REACH, este estudio no es necesario porque: la sustancia, por su estructura química, no puede reaccionar de forma exotérmica con materias combustibles.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lastRenderedPageBreak/>
              <w:t>H225 Líquido y vapores muy inflamables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H361d Se sospecha que daña al feto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H304 Puede ser mortal en caso de ingestión y penetración en las vías respiratorias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H373 Puede perjudicar a determinados órganos por exposición prolongada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H315 Provoca irritación cutánea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H336 Puede provocar somnolencia o vértigo</w:t>
            </w:r>
          </w:p>
          <w:p w:rsidR="00154B72" w:rsidRPr="00816FF8" w:rsidRDefault="00154B72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según 1272/2008/CE: No se clasificará como peligroso para el medio ambiente acuático.</w:t>
            </w:r>
          </w:p>
        </w:tc>
      </w:tr>
      <w:tr w:rsidR="00783897" w:rsidRPr="00816FF8" w:rsidTr="00816FF8">
        <w:trPr>
          <w:trHeight w:val="29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GASOLEO (mezcla compleja)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Sinónimos: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-Gasóleos A y B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-Gasóleo de automoción</w:t>
            </w:r>
          </w:p>
          <w:p w:rsidR="00783897" w:rsidRPr="00816FF8" w:rsidRDefault="00783897" w:rsidP="0081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s-CO"/>
              </w:rPr>
              <w:t>-Diésel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Líquido incoloro, amarillo pajizo o rojo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Liquido marrón</w:t>
            </w:r>
          </w:p>
        </w:tc>
        <w:tc>
          <w:tcPr>
            <w:tcW w:w="6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749F" w:rsidRPr="00816FF8" w:rsidRDefault="00816FF8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Aspecto:</w:t>
            </w:r>
            <w:r w:rsidR="0055749F"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líquido </w:t>
            </w:r>
          </w:p>
          <w:p w:rsidR="0055749F" w:rsidRPr="00816FF8" w:rsidRDefault="00816FF8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Color:</w:t>
            </w:r>
            <w:r w:rsidR="0055749F"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Rojo </w:t>
            </w:r>
          </w:p>
          <w:p w:rsidR="0055749F" w:rsidRPr="00816FF8" w:rsidRDefault="00816FF8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Olor:</w:t>
            </w:r>
            <w:r w:rsidR="0055749F"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característico </w:t>
            </w:r>
          </w:p>
          <w:p w:rsidR="0055749F" w:rsidRPr="00816FF8" w:rsidRDefault="00816FF8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pH:</w:t>
            </w:r>
            <w:r w:rsidR="0055749F"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sin datos disponibles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Punto de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inflamación: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&gt; 60 °C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Velocidad de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evaporación: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sin datos disponibles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Inflamabilidad (sólido, gas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):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Inflamable.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Límites de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explosión: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0,5-5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vol.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%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Densidad de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vapor: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Sin datos disponibles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Densidad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relativa: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0,82-0,88 (H2O=1)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Solubilidad en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agua: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0 g/100ml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Temperatura de ignición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espontánea: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&gt; 250 °C sin datos disponibles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Temperatura de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descomposición: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sin datos disponibles </w:t>
            </w:r>
          </w:p>
          <w:p w:rsidR="0055749F" w:rsidRPr="00816FF8" w:rsidRDefault="0055749F" w:rsidP="005574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Propiedades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explosivas: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No explosivo, Peligro de explosión en caso de calentamiento. Propiedades 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comburentes: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 xml:space="preserve"> La sustancia o mezcla no se clasifica como oxidante.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H225 Líquido y vapores muy inflamables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H361f Se sospecha que perjudica la fertilidad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H304 Puede ser mortal en caso de ingestión y penetración en las vías respiratorias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H373 Puede perjudicar a determinados órganos por exposición prolongada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H315 Provoca irritación cutánea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H336 Puede provocar somnolencia o vértigo</w:t>
            </w:r>
          </w:p>
          <w:p w:rsidR="00783897" w:rsidRPr="00816FF8" w:rsidRDefault="00783897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  <w:t>H411Tóxico para los organismos acuáticos, con efectos nocivos duraderos</w:t>
            </w:r>
          </w:p>
          <w:p w:rsidR="00154B72" w:rsidRPr="00816FF8" w:rsidRDefault="00154B72" w:rsidP="00382F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CO"/>
              </w:rPr>
            </w:pP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Nivel de riesgo para el agua 2 (</w:t>
            </w:r>
            <w:r w:rsidR="00816FF8" w:rsidRPr="00816FF8">
              <w:rPr>
                <w:rFonts w:ascii="Times New Roman" w:hAnsi="Times New Roman" w:cs="Times New Roman"/>
                <w:sz w:val="18"/>
                <w:szCs w:val="18"/>
              </w:rPr>
              <w:t>auto clasificación</w:t>
            </w:r>
            <w:r w:rsidRPr="00816FF8">
              <w:rPr>
                <w:rFonts w:ascii="Times New Roman" w:hAnsi="Times New Roman" w:cs="Times New Roman"/>
                <w:sz w:val="18"/>
                <w:szCs w:val="18"/>
              </w:rPr>
              <w:t>): peligroso para el agua (Alemania) No dejar que se infiltre en aguas subterráneas, aguas superficiales o en alcantarillados. Una cantidad mínima vertida en el subsuelo ya representa un peligro para el agua potable.</w:t>
            </w:r>
          </w:p>
        </w:tc>
      </w:tr>
    </w:tbl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5749F" w:rsidRDefault="0055749F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5749F" w:rsidRDefault="0055749F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5749F" w:rsidRDefault="0055749F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5749F" w:rsidRDefault="0055749F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5749F" w:rsidRDefault="0055749F" w:rsidP="006B52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sectPr w:rsidR="0055749F" w:rsidSect="00C75BA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1" w:name="_GoBack"/>
      <w:bookmarkEnd w:id="1"/>
    </w:p>
    <w:p w:rsidR="0055749F" w:rsidRPr="0055749F" w:rsidRDefault="0055749F" w:rsidP="006B52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55749F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lastRenderedPageBreak/>
        <w:t>Bibliografía</w:t>
      </w: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8512E7" w:rsidRDefault="008512E7" w:rsidP="00A9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FA4A66" w:rsidRDefault="00FA4A66" w:rsidP="00FA4A66">
      <w:r w:rsidRPr="00C133A4">
        <w:t>Importancia y desafíos del sector hidrocarburos en Colombia</w:t>
      </w:r>
    </w:p>
    <w:p w:rsidR="00FA4A66" w:rsidRDefault="00801E80" w:rsidP="00FA4A66">
      <w:hyperlink r:id="rId8" w:history="1">
        <w:r w:rsidR="00FA4A66">
          <w:rPr>
            <w:rStyle w:val="Hipervnculo"/>
          </w:rPr>
          <w:t>https://www.caracoltv.com/enterate/importancia-y-desafios-del-sector-hidrocarburos-en-colombia</w:t>
        </w:r>
      </w:hyperlink>
    </w:p>
    <w:p w:rsidR="00FA4A66" w:rsidRDefault="00FA4A66" w:rsidP="00FA4A66">
      <w:r w:rsidRPr="00C133A4">
        <w:t>Importancia del petróleo en la economía colombiana - Dinero</w:t>
      </w:r>
    </w:p>
    <w:p w:rsidR="00FA4A66" w:rsidRDefault="00801E80" w:rsidP="00FA4A66">
      <w:hyperlink r:id="rId9" w:history="1">
        <w:r w:rsidR="00FA4A66">
          <w:rPr>
            <w:rStyle w:val="Hipervnculo"/>
          </w:rPr>
          <w:t>https://www.dinero.com/especiales-comerciales/especiales/articulo/importancia-del-petroleo-en-la-economia-colombiana/258265</w:t>
        </w:r>
      </w:hyperlink>
    </w:p>
    <w:p w:rsidR="00FA4A66" w:rsidRDefault="00FA4A66" w:rsidP="00FA4A66">
      <w:r w:rsidRPr="00F049B8">
        <w:t xml:space="preserve">Productos químicos provenientes del </w:t>
      </w:r>
      <w:r w:rsidR="00816FF8" w:rsidRPr="00F049B8">
        <w:t>petróleo</w:t>
      </w:r>
      <w:r w:rsidRPr="00F049B8">
        <w:t xml:space="preserve"> - La Comunidad Petrolera</w:t>
      </w:r>
    </w:p>
    <w:p w:rsidR="008512E7" w:rsidRDefault="00801E80" w:rsidP="00FA4A66">
      <w:pPr>
        <w:shd w:val="clear" w:color="auto" w:fill="FFFFFF"/>
        <w:spacing w:after="0" w:line="240" w:lineRule="auto"/>
        <w:jc w:val="both"/>
      </w:pPr>
      <w:hyperlink r:id="rId10" w:history="1">
        <w:r w:rsidR="00FA4A66">
          <w:rPr>
            <w:rStyle w:val="Hipervnculo"/>
          </w:rPr>
          <w:t>https://www.lacomunidadpetrolera.com/2009/01/productos-quimicos-provenientes-del.html</w:t>
        </w:r>
      </w:hyperlink>
    </w:p>
    <w:p w:rsidR="00EA1F00" w:rsidRDefault="00EA1F00" w:rsidP="00FA4A66">
      <w:pPr>
        <w:shd w:val="clear" w:color="auto" w:fill="FFFFFF"/>
        <w:spacing w:after="0" w:line="240" w:lineRule="auto"/>
        <w:jc w:val="both"/>
      </w:pPr>
    </w:p>
    <w:p w:rsidR="00EA1F00" w:rsidRDefault="00EA1F00" w:rsidP="00FA4A66">
      <w:pPr>
        <w:shd w:val="clear" w:color="auto" w:fill="FFFFFF"/>
        <w:spacing w:after="0" w:line="240" w:lineRule="auto"/>
        <w:jc w:val="both"/>
      </w:pPr>
      <w:r w:rsidRPr="00EA1F00">
        <w:t>Agentes químicos más importantes en el suministro de combustibles</w:t>
      </w:r>
    </w:p>
    <w:p w:rsidR="00EA1F00" w:rsidRDefault="00EA1F00" w:rsidP="00FA4A66">
      <w:pPr>
        <w:shd w:val="clear" w:color="auto" w:fill="FFFFFF"/>
        <w:spacing w:after="0" w:line="240" w:lineRule="auto"/>
        <w:jc w:val="both"/>
      </w:pPr>
    </w:p>
    <w:p w:rsidR="00EA1F00" w:rsidRDefault="00801E80" w:rsidP="00FA4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hyperlink r:id="rId11" w:history="1">
        <w:r w:rsidR="00EA1F00">
          <w:rPr>
            <w:rStyle w:val="Hipervnculo"/>
          </w:rPr>
          <w:t>http://stp.insht.es:86/stp/content/anexo-3-agentes-qu%C3%ADmicos-m%C3%A1s-importantes-en-el-suministro-de-combustibles-0</w:t>
        </w:r>
      </w:hyperlink>
    </w:p>
    <w:sectPr w:rsidR="00EA1F00" w:rsidSect="0055749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80" w:rsidRDefault="00801E80" w:rsidP="00A94213">
      <w:pPr>
        <w:spacing w:after="0" w:line="240" w:lineRule="auto"/>
      </w:pPr>
      <w:r>
        <w:separator/>
      </w:r>
    </w:p>
  </w:endnote>
  <w:endnote w:type="continuationSeparator" w:id="0">
    <w:p w:rsidR="00801E80" w:rsidRDefault="00801E80" w:rsidP="00A9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80" w:rsidRDefault="00801E80" w:rsidP="00A94213">
      <w:pPr>
        <w:spacing w:after="0" w:line="240" w:lineRule="auto"/>
      </w:pPr>
      <w:r>
        <w:separator/>
      </w:r>
    </w:p>
  </w:footnote>
  <w:footnote w:type="continuationSeparator" w:id="0">
    <w:p w:rsidR="00801E80" w:rsidRDefault="00801E80" w:rsidP="00A94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D3E"/>
    <w:multiLevelType w:val="multilevel"/>
    <w:tmpl w:val="97E24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87E9A"/>
    <w:multiLevelType w:val="multilevel"/>
    <w:tmpl w:val="6BB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2E3E"/>
    <w:multiLevelType w:val="multilevel"/>
    <w:tmpl w:val="84E6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42751"/>
    <w:multiLevelType w:val="multilevel"/>
    <w:tmpl w:val="F34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154B72"/>
    <w:rsid w:val="00382F2C"/>
    <w:rsid w:val="0055749F"/>
    <w:rsid w:val="00671953"/>
    <w:rsid w:val="006B5250"/>
    <w:rsid w:val="00783897"/>
    <w:rsid w:val="0079763E"/>
    <w:rsid w:val="00801E80"/>
    <w:rsid w:val="00816FF8"/>
    <w:rsid w:val="008512E7"/>
    <w:rsid w:val="008E2295"/>
    <w:rsid w:val="00A94213"/>
    <w:rsid w:val="00AE4CD7"/>
    <w:rsid w:val="00C06489"/>
    <w:rsid w:val="00C75BAD"/>
    <w:rsid w:val="00EA1F00"/>
    <w:rsid w:val="00F57027"/>
    <w:rsid w:val="00FA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B6BD"/>
  <w15:chartTrackingRefBased/>
  <w15:docId w15:val="{8DAEF450-38A9-45C4-8785-042B5580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942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942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13"/>
  </w:style>
  <w:style w:type="paragraph" w:styleId="Piedepgina">
    <w:name w:val="footer"/>
    <w:basedOn w:val="Normal"/>
    <w:link w:val="PiedepginaCar"/>
    <w:uiPriority w:val="99"/>
    <w:unhideWhenUsed/>
    <w:rsid w:val="00A942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13"/>
  </w:style>
  <w:style w:type="paragraph" w:styleId="Prrafodelista">
    <w:name w:val="List Paragraph"/>
    <w:basedOn w:val="Normal"/>
    <w:uiPriority w:val="34"/>
    <w:qFormat/>
    <w:rsid w:val="00F570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A4A66"/>
    <w:rPr>
      <w:color w:val="0000FF"/>
      <w:u w:val="single"/>
    </w:rPr>
  </w:style>
  <w:style w:type="paragraph" w:customStyle="1" w:styleId="rteleft">
    <w:name w:val="rteleft"/>
    <w:basedOn w:val="Normal"/>
    <w:rsid w:val="0079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acoltv.com/enterate/importancia-y-desafios-del-sector-hidrocarburos-en-colomb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p.insht.es:86/stp/content/anexo-3-agentes-qu%C3%ADmicos-m%C3%A1s-importantes-en-el-suministro-de-combustibles-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acomunidadpetrolera.com/2009/01/productos-quimicos-provenientes-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nero.com/especiales-comerciales/especiales/articulo/importancia-del-petroleo-en-la-economia-colombiana/2582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1524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Lucia Chinchilla La Rotta</cp:lastModifiedBy>
  <cp:revision>6</cp:revision>
  <dcterms:created xsi:type="dcterms:W3CDTF">2019-05-11T00:28:00Z</dcterms:created>
  <dcterms:modified xsi:type="dcterms:W3CDTF">2019-05-11T03:41:00Z</dcterms:modified>
</cp:coreProperties>
</file>