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110" w:rsidRDefault="00836D54">
      <w:r>
        <w:t>Como afecto el incremento del dólar y las disminuciones del petróleo producido en Venezuela, principalmente en sus ciudades petroleras, en el periodo de 1999 a 2019, que consecuencias y que factores principales influyeron en esta crisi</w:t>
      </w:r>
      <w:bookmarkStart w:id="0" w:name="_GoBack"/>
      <w:bookmarkEnd w:id="0"/>
    </w:p>
    <w:sectPr w:rsidR="009E01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54"/>
    <w:rsid w:val="00836D54"/>
    <w:rsid w:val="009E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A1E7"/>
  <w15:chartTrackingRefBased/>
  <w15:docId w15:val="{02673C92-0734-488F-8392-746CDF49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TRILLOS TRILLOS RODAS</dc:creator>
  <cp:keywords/>
  <dc:description/>
  <cp:lastModifiedBy>JUAN TRILLOS TRILLOS RODAS</cp:lastModifiedBy>
  <cp:revision>1</cp:revision>
  <dcterms:created xsi:type="dcterms:W3CDTF">2019-08-21T16:38:00Z</dcterms:created>
  <dcterms:modified xsi:type="dcterms:W3CDTF">2019-08-21T16:53:00Z</dcterms:modified>
</cp:coreProperties>
</file>