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9C05B" w14:textId="77777777" w:rsidR="004D2329" w:rsidRPr="004160A9" w:rsidRDefault="00A84D4C">
      <w:pPr>
        <w:spacing w:after="0" w:line="259" w:lineRule="auto"/>
        <w:ind w:left="720" w:firstLine="0"/>
        <w:jc w:val="left"/>
      </w:pPr>
      <w:r w:rsidRPr="004160A9">
        <w:rPr>
          <w:rFonts w:eastAsia="Cambria"/>
          <w:color w:val="366091"/>
          <w:sz w:val="32"/>
        </w:rPr>
        <w:t xml:space="preserve">EXAMEN  </w:t>
      </w:r>
    </w:p>
    <w:p w14:paraId="3C45540D" w14:textId="77777777" w:rsidR="004D2329" w:rsidRPr="004160A9" w:rsidRDefault="00A84D4C">
      <w:pPr>
        <w:spacing w:after="0" w:line="259" w:lineRule="auto"/>
        <w:ind w:left="544"/>
        <w:jc w:val="center"/>
      </w:pPr>
      <w:r w:rsidRPr="004160A9">
        <w:rPr>
          <w:b/>
          <w:sz w:val="28"/>
        </w:rPr>
        <w:t xml:space="preserve">AUDITORES INTERNOS DE LABORATORIOS </w:t>
      </w:r>
    </w:p>
    <w:p w14:paraId="4AB64D44" w14:textId="77777777" w:rsidR="004D2329" w:rsidRPr="004160A9" w:rsidRDefault="00A84D4C">
      <w:pPr>
        <w:spacing w:after="0" w:line="259" w:lineRule="auto"/>
        <w:ind w:left="544" w:right="2"/>
        <w:jc w:val="center"/>
      </w:pPr>
      <w:r w:rsidRPr="004160A9">
        <w:rPr>
          <w:b/>
          <w:sz w:val="28"/>
        </w:rPr>
        <w:t xml:space="preserve">ISO/IEC 17025:2017 </w:t>
      </w:r>
    </w:p>
    <w:p w14:paraId="4EBEFBAD" w14:textId="77777777" w:rsidR="004D2329" w:rsidRPr="004160A9" w:rsidRDefault="00A84D4C">
      <w:pPr>
        <w:spacing w:after="0" w:line="259" w:lineRule="auto"/>
        <w:ind w:left="601" w:firstLine="0"/>
        <w:jc w:val="center"/>
      </w:pPr>
      <w:r w:rsidRPr="004160A9">
        <w:rPr>
          <w:b/>
        </w:rPr>
        <w:t xml:space="preserve"> </w:t>
      </w:r>
    </w:p>
    <w:p w14:paraId="0FC9EAC0" w14:textId="77777777" w:rsidR="004D2329" w:rsidRPr="004160A9" w:rsidRDefault="00A84D4C">
      <w:pPr>
        <w:spacing w:after="0" w:line="259" w:lineRule="auto"/>
        <w:ind w:left="720" w:firstLine="0"/>
        <w:jc w:val="left"/>
      </w:pPr>
      <w:r w:rsidRPr="004160A9">
        <w:rPr>
          <w:b/>
        </w:rPr>
        <w:t xml:space="preserve"> </w:t>
      </w:r>
    </w:p>
    <w:tbl>
      <w:tblPr>
        <w:tblStyle w:val="TableGrid"/>
        <w:tblW w:w="9705" w:type="dxa"/>
        <w:tblInd w:w="720" w:type="dxa"/>
        <w:tblCellMar>
          <w:left w:w="9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3420"/>
        <w:gridCol w:w="1605"/>
        <w:gridCol w:w="2340"/>
      </w:tblGrid>
      <w:tr w:rsidR="004D2329" w:rsidRPr="004160A9" w14:paraId="4B9ACA6F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F857E" w14:textId="77777777" w:rsidR="004D2329" w:rsidRPr="004160A9" w:rsidRDefault="00A84D4C">
            <w:pPr>
              <w:spacing w:after="0" w:line="259" w:lineRule="auto"/>
              <w:ind w:left="0" w:firstLine="0"/>
              <w:jc w:val="left"/>
            </w:pPr>
            <w:r w:rsidRPr="004160A9">
              <w:rPr>
                <w:rFonts w:eastAsia="Times New Roman"/>
                <w:b/>
                <w:sz w:val="20"/>
              </w:rPr>
              <w:t xml:space="preserve">PARTICIPANTE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10007" w14:textId="7EA2A1DC" w:rsidR="004D2329" w:rsidRPr="004160A9" w:rsidRDefault="00A84D4C" w:rsidP="00FA6BA7">
            <w:pPr>
              <w:spacing w:after="0" w:line="259" w:lineRule="auto"/>
              <w:ind w:left="0" w:firstLine="0"/>
              <w:jc w:val="left"/>
            </w:pPr>
            <w:r w:rsidRPr="004160A9">
              <w:rPr>
                <w:rFonts w:eastAsia="Times New Roman"/>
                <w:sz w:val="20"/>
              </w:rPr>
              <w:t xml:space="preserve"> </w:t>
            </w:r>
            <w:r w:rsidR="00FA6BA7" w:rsidRPr="004160A9">
              <w:rPr>
                <w:rFonts w:eastAsia="Times New Roman"/>
                <w:sz w:val="20"/>
              </w:rPr>
              <w:t>ANGÉLICA DEL CARMEN CUJAR VERTEL</w:t>
            </w:r>
          </w:p>
        </w:tc>
      </w:tr>
      <w:tr w:rsidR="004D2329" w:rsidRPr="004160A9" w14:paraId="00C56FE3" w14:textId="77777777" w:rsidTr="00105932">
        <w:trPr>
          <w:trHeight w:val="362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4DF84" w14:textId="77777777" w:rsidR="004D2329" w:rsidRPr="004160A9" w:rsidRDefault="00A84D4C">
            <w:pPr>
              <w:spacing w:after="0" w:line="259" w:lineRule="auto"/>
              <w:ind w:left="0" w:firstLine="0"/>
              <w:jc w:val="left"/>
            </w:pPr>
            <w:r w:rsidRPr="004160A9">
              <w:rPr>
                <w:rFonts w:eastAsia="Times New Roman"/>
                <w:b/>
                <w:sz w:val="20"/>
              </w:rPr>
              <w:t xml:space="preserve">EMPRESA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F809A" w14:textId="0F49DA4D" w:rsidR="004D2329" w:rsidRPr="004160A9" w:rsidRDefault="00B72DA2" w:rsidP="00B72DA2">
            <w:pPr>
              <w:spacing w:after="0" w:line="259" w:lineRule="auto"/>
              <w:ind w:left="31" w:firstLine="0"/>
            </w:pPr>
            <w:r w:rsidRPr="004160A9">
              <w:rPr>
                <w:rFonts w:eastAsia="Times New Roman"/>
                <w:sz w:val="20"/>
              </w:rPr>
              <w:t>BUREAU VERITAS COLOMBIA</w:t>
            </w:r>
            <w:r w:rsidR="00A84D4C" w:rsidRPr="004160A9">
              <w:rPr>
                <w:rFonts w:eastAsia="Times New Roman"/>
                <w:sz w:val="20"/>
              </w:rPr>
              <w:t xml:space="preserve"> </w:t>
            </w:r>
            <w:r w:rsidR="00105932" w:rsidRPr="004160A9">
              <w:rPr>
                <w:rFonts w:eastAsia="Times New Roman"/>
                <w:sz w:val="20"/>
              </w:rPr>
              <w:t>LTDA.</w:t>
            </w:r>
          </w:p>
        </w:tc>
      </w:tr>
      <w:tr w:rsidR="004D2329" w:rsidRPr="004160A9" w14:paraId="5CD139B4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20612" w14:textId="77777777" w:rsidR="004D2329" w:rsidRPr="004160A9" w:rsidRDefault="00A84D4C">
            <w:pPr>
              <w:spacing w:after="0" w:line="259" w:lineRule="auto"/>
              <w:ind w:left="0" w:firstLine="0"/>
              <w:jc w:val="left"/>
            </w:pPr>
            <w:r w:rsidRPr="004160A9">
              <w:rPr>
                <w:rFonts w:eastAsia="Times New Roman"/>
                <w:b/>
                <w:sz w:val="20"/>
              </w:rPr>
              <w:t xml:space="preserve">FECHA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8FB9A2" w14:textId="32249324" w:rsidR="004D2329" w:rsidRPr="004160A9" w:rsidRDefault="00FA6BA7" w:rsidP="00B72DA2">
            <w:pPr>
              <w:spacing w:after="0" w:line="259" w:lineRule="auto"/>
              <w:ind w:left="31" w:firstLine="0"/>
            </w:pPr>
            <w:r w:rsidRPr="004160A9">
              <w:rPr>
                <w:rFonts w:eastAsia="Times New Roman"/>
                <w:sz w:val="20"/>
              </w:rPr>
              <w:t>7 DE MAYO</w:t>
            </w:r>
            <w:r w:rsidR="00B72DA2" w:rsidRPr="004160A9">
              <w:rPr>
                <w:rFonts w:eastAsia="Times New Roman"/>
                <w:sz w:val="20"/>
              </w:rPr>
              <w:t xml:space="preserve"> DE 2020</w:t>
            </w:r>
            <w:r w:rsidR="00A84D4C" w:rsidRPr="004160A9">
              <w:rPr>
                <w:rFonts w:eastAsia="Times New Roman"/>
                <w:sz w:val="20"/>
              </w:rPr>
              <w:t xml:space="preserve"> </w:t>
            </w:r>
          </w:p>
        </w:tc>
      </w:tr>
      <w:tr w:rsidR="004D2329" w:rsidRPr="004160A9" w14:paraId="55D7D06A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9F9946" w14:textId="77777777" w:rsidR="004D2329" w:rsidRPr="004160A9" w:rsidRDefault="00A84D4C">
            <w:pPr>
              <w:spacing w:after="0" w:line="259" w:lineRule="auto"/>
              <w:ind w:left="0" w:firstLine="0"/>
              <w:jc w:val="left"/>
            </w:pPr>
            <w:r w:rsidRPr="004160A9">
              <w:rPr>
                <w:rFonts w:eastAsia="Times New Roman"/>
                <w:b/>
                <w:sz w:val="20"/>
              </w:rPr>
              <w:t xml:space="preserve">CALIFICACIÓN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803B9" w14:textId="77777777" w:rsidR="004D2329" w:rsidRPr="004160A9" w:rsidRDefault="00A84D4C">
            <w:pPr>
              <w:spacing w:after="0" w:line="259" w:lineRule="auto"/>
              <w:ind w:left="46" w:firstLine="0"/>
              <w:jc w:val="center"/>
            </w:pPr>
            <w:r w:rsidRPr="004160A9">
              <w:rPr>
                <w:rFonts w:eastAsia="Times New Roman"/>
                <w:b/>
                <w:sz w:val="20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39C43" w14:textId="77777777" w:rsidR="004D2329" w:rsidRPr="004160A9" w:rsidRDefault="00A84D4C">
            <w:pPr>
              <w:spacing w:after="0" w:line="259" w:lineRule="auto"/>
              <w:ind w:left="0" w:firstLine="0"/>
              <w:jc w:val="left"/>
            </w:pPr>
            <w:r w:rsidRPr="004160A9">
              <w:rPr>
                <w:rFonts w:eastAsia="Times New Roman"/>
                <w:b/>
                <w:sz w:val="20"/>
              </w:rPr>
              <w:t xml:space="preserve">FECHA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CE77D4" w14:textId="77777777" w:rsidR="004D2329" w:rsidRPr="004160A9" w:rsidRDefault="00A84D4C">
            <w:pPr>
              <w:spacing w:after="0" w:line="259" w:lineRule="auto"/>
              <w:ind w:left="46" w:firstLine="0"/>
              <w:jc w:val="center"/>
            </w:pPr>
            <w:r w:rsidRPr="004160A9">
              <w:rPr>
                <w:rFonts w:eastAsia="Times New Roman"/>
                <w:b/>
                <w:sz w:val="20"/>
              </w:rPr>
              <w:t xml:space="preserve"> </w:t>
            </w:r>
          </w:p>
        </w:tc>
      </w:tr>
      <w:tr w:rsidR="004D2329" w:rsidRPr="004160A9" w14:paraId="59891B54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34886" w14:textId="77777777" w:rsidR="004D2329" w:rsidRPr="004160A9" w:rsidRDefault="00A84D4C">
            <w:pPr>
              <w:spacing w:after="0" w:line="259" w:lineRule="auto"/>
              <w:ind w:left="0" w:firstLine="0"/>
              <w:jc w:val="left"/>
            </w:pPr>
            <w:r w:rsidRPr="004160A9">
              <w:rPr>
                <w:rFonts w:eastAsia="Times New Roman"/>
                <w:b/>
                <w:sz w:val="20"/>
              </w:rPr>
              <w:t xml:space="preserve">EVALUADOR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22A9A" w14:textId="77777777" w:rsidR="004D2329" w:rsidRPr="004160A9" w:rsidRDefault="00A84D4C">
            <w:pPr>
              <w:spacing w:after="0" w:line="259" w:lineRule="auto"/>
              <w:ind w:left="31" w:firstLine="0"/>
              <w:jc w:val="center"/>
            </w:pPr>
            <w:r w:rsidRPr="004160A9">
              <w:rPr>
                <w:rFonts w:eastAsia="Times New Roman"/>
                <w:b/>
                <w:sz w:val="20"/>
              </w:rPr>
              <w:t xml:space="preserve"> </w:t>
            </w:r>
          </w:p>
        </w:tc>
      </w:tr>
    </w:tbl>
    <w:p w14:paraId="7BEA46FE" w14:textId="77777777" w:rsidR="004D2329" w:rsidRPr="004160A9" w:rsidRDefault="00A84D4C">
      <w:pPr>
        <w:spacing w:after="90" w:line="259" w:lineRule="auto"/>
        <w:ind w:left="601" w:firstLine="0"/>
        <w:jc w:val="center"/>
      </w:pPr>
      <w:r w:rsidRPr="004160A9">
        <w:rPr>
          <w:b/>
        </w:rPr>
        <w:t xml:space="preserve"> </w:t>
      </w:r>
    </w:p>
    <w:p w14:paraId="5681F26E" w14:textId="77777777" w:rsidR="00704581" w:rsidRPr="004160A9" w:rsidRDefault="00A84D4C">
      <w:pPr>
        <w:spacing w:after="98" w:line="259" w:lineRule="auto"/>
        <w:ind w:left="715"/>
        <w:jc w:val="left"/>
        <w:rPr>
          <w:b/>
        </w:rPr>
      </w:pPr>
      <w:r w:rsidRPr="004160A9">
        <w:rPr>
          <w:b/>
        </w:rPr>
        <w:t xml:space="preserve">SECCION A - CONCEPTOS DE LA NORMA: 15 PUNTOS </w:t>
      </w:r>
    </w:p>
    <w:p w14:paraId="3A0E422E" w14:textId="77777777" w:rsidR="00704581" w:rsidRPr="004160A9" w:rsidRDefault="00A84D4C">
      <w:pPr>
        <w:spacing w:after="98" w:line="259" w:lineRule="auto"/>
        <w:ind w:left="715"/>
        <w:jc w:val="left"/>
        <w:rPr>
          <w:b/>
        </w:rPr>
      </w:pPr>
      <w:r w:rsidRPr="004160A9">
        <w:rPr>
          <w:b/>
        </w:rPr>
        <w:t>SECCION B - AUDITORIAS:</w:t>
      </w:r>
      <w:r w:rsidRPr="004160A9">
        <w:rPr>
          <w:b/>
        </w:rPr>
        <w:tab/>
        <w:t>20</w:t>
      </w:r>
      <w:bookmarkStart w:id="0" w:name="_GoBack"/>
      <w:bookmarkEnd w:id="0"/>
      <w:r w:rsidRPr="004160A9">
        <w:rPr>
          <w:b/>
        </w:rPr>
        <w:t xml:space="preserve"> PUNTOS</w:t>
      </w:r>
    </w:p>
    <w:p w14:paraId="65B28A8A" w14:textId="57AE06C1" w:rsidR="004D2329" w:rsidRPr="004160A9" w:rsidRDefault="00A84D4C" w:rsidP="00704581">
      <w:pPr>
        <w:spacing w:after="98" w:line="259" w:lineRule="auto"/>
        <w:ind w:left="715"/>
        <w:jc w:val="left"/>
        <w:rPr>
          <w:b/>
        </w:rPr>
      </w:pPr>
      <w:r w:rsidRPr="004160A9">
        <w:rPr>
          <w:b/>
        </w:rPr>
        <w:t xml:space="preserve">SECCION C - ANÁLISIS DE CASOS: </w:t>
      </w:r>
      <w:r w:rsidRPr="004160A9">
        <w:rPr>
          <w:b/>
        </w:rPr>
        <w:tab/>
        <w:t xml:space="preserve">15 PUNTOS </w:t>
      </w:r>
    </w:p>
    <w:p w14:paraId="0D79AB2D" w14:textId="77777777" w:rsidR="004D2329" w:rsidRPr="004160A9" w:rsidRDefault="00A84D4C">
      <w:pPr>
        <w:ind w:right="155"/>
      </w:pPr>
      <w:r w:rsidRPr="004160A9">
        <w:t xml:space="preserve">El puntaje mínimo requerido para aprobar este examen es de 35 puntos sobre 50 posibles. </w:t>
      </w:r>
    </w:p>
    <w:p w14:paraId="0FA88510" w14:textId="77777777" w:rsidR="004D2329" w:rsidRPr="004160A9" w:rsidRDefault="00A84D4C">
      <w:pPr>
        <w:spacing w:after="90" w:line="259" w:lineRule="auto"/>
        <w:ind w:left="720" w:firstLine="0"/>
        <w:jc w:val="left"/>
      </w:pPr>
      <w:r w:rsidRPr="004160A9">
        <w:t xml:space="preserve"> </w:t>
      </w:r>
    </w:p>
    <w:p w14:paraId="71075A21" w14:textId="77777777" w:rsidR="00623BAF" w:rsidRPr="004160A9" w:rsidRDefault="00623BAF">
      <w:pPr>
        <w:spacing w:after="90" w:line="259" w:lineRule="auto"/>
        <w:ind w:left="720" w:firstLine="0"/>
        <w:jc w:val="left"/>
      </w:pPr>
    </w:p>
    <w:p w14:paraId="4F0574A1" w14:textId="77777777" w:rsidR="004D2329" w:rsidRPr="004160A9" w:rsidRDefault="00A84D4C">
      <w:pPr>
        <w:pStyle w:val="Ttulo1"/>
        <w:ind w:left="715"/>
      </w:pPr>
      <w:r w:rsidRPr="004160A9">
        <w:t xml:space="preserve">SECCIÓN A: CONCEPTOS DE NORMA ISO/IEC 17025:2017 (15 puntos) </w:t>
      </w:r>
    </w:p>
    <w:p w14:paraId="76735B06" w14:textId="5961A1EA" w:rsidR="004D2329" w:rsidRPr="004160A9" w:rsidRDefault="00A84D4C" w:rsidP="00704581">
      <w:pPr>
        <w:spacing w:after="0" w:line="259" w:lineRule="auto"/>
        <w:ind w:left="720" w:firstLine="0"/>
        <w:jc w:val="left"/>
      </w:pPr>
      <w:r w:rsidRPr="004160A9">
        <w:t xml:space="preserve">Este punto se completa en la evaluación del curso, puedes acceder a ella desde la pestaña evalúate. </w:t>
      </w:r>
    </w:p>
    <w:p w14:paraId="118D6E5E" w14:textId="097B9989" w:rsidR="00704581" w:rsidRPr="004160A9" w:rsidRDefault="00704581" w:rsidP="00704581">
      <w:pPr>
        <w:spacing w:after="0" w:line="259" w:lineRule="auto"/>
        <w:ind w:left="720" w:firstLine="0"/>
        <w:jc w:val="left"/>
        <w:rPr>
          <w:b/>
        </w:rPr>
      </w:pPr>
      <w:r w:rsidRPr="004160A9">
        <w:rPr>
          <w:b/>
        </w:rPr>
        <w:t xml:space="preserve">RESPUESTA: </w:t>
      </w:r>
      <w:r w:rsidRPr="004160A9">
        <w:t>YA EST</w:t>
      </w:r>
      <w:r w:rsidR="00466377" w:rsidRPr="004160A9">
        <w:t>Á REALIZADA</w:t>
      </w:r>
    </w:p>
    <w:p w14:paraId="4277F409" w14:textId="77777777" w:rsidR="004D2329" w:rsidRPr="004160A9" w:rsidRDefault="00A84D4C">
      <w:pPr>
        <w:spacing w:after="90" w:line="259" w:lineRule="auto"/>
        <w:ind w:left="720" w:firstLine="0"/>
        <w:jc w:val="left"/>
        <w:rPr>
          <w:b/>
        </w:rPr>
      </w:pPr>
      <w:r w:rsidRPr="004160A9">
        <w:rPr>
          <w:b/>
        </w:rPr>
        <w:t xml:space="preserve"> </w:t>
      </w:r>
    </w:p>
    <w:p w14:paraId="7202D08B" w14:textId="77777777" w:rsidR="00623BAF" w:rsidRPr="004160A9" w:rsidRDefault="00623BAF">
      <w:pPr>
        <w:spacing w:after="90" w:line="259" w:lineRule="auto"/>
        <w:ind w:left="720" w:firstLine="0"/>
        <w:jc w:val="left"/>
      </w:pPr>
    </w:p>
    <w:p w14:paraId="0ED9C4AE" w14:textId="77777777" w:rsidR="004D2329" w:rsidRPr="004160A9" w:rsidRDefault="00A84D4C">
      <w:pPr>
        <w:pStyle w:val="Ttulo1"/>
        <w:ind w:left="715"/>
      </w:pPr>
      <w:r w:rsidRPr="004160A9">
        <w:t xml:space="preserve">SECCIÓN B: CONCEPTOS DE AUDITORIA (20 puntos) </w:t>
      </w:r>
    </w:p>
    <w:p w14:paraId="413B3D44" w14:textId="7ACCC9DF" w:rsidR="004D2329" w:rsidRPr="004160A9" w:rsidRDefault="00A84D4C" w:rsidP="00704581">
      <w:pPr>
        <w:spacing w:after="0" w:line="259" w:lineRule="auto"/>
        <w:ind w:left="720" w:firstLine="0"/>
        <w:jc w:val="left"/>
      </w:pPr>
      <w:r w:rsidRPr="004160A9">
        <w:t xml:space="preserve">A continuación tiene 4 preguntas, cada una vale 5 puntos.  </w:t>
      </w:r>
    </w:p>
    <w:p w14:paraId="18AA3BC9" w14:textId="77777777" w:rsidR="004D2329" w:rsidRPr="004160A9" w:rsidRDefault="00A84D4C">
      <w:pPr>
        <w:spacing w:after="0" w:line="259" w:lineRule="auto"/>
        <w:ind w:left="1440" w:firstLine="0"/>
        <w:jc w:val="left"/>
      </w:pPr>
      <w:r w:rsidRPr="004160A9">
        <w:t xml:space="preserve"> </w:t>
      </w:r>
    </w:p>
    <w:p w14:paraId="025EBDD4" w14:textId="6DC531A6" w:rsidR="00ED74F9" w:rsidRPr="004160A9" w:rsidRDefault="00A84D4C" w:rsidP="00623BAF">
      <w:pPr>
        <w:pStyle w:val="Prrafodelista"/>
        <w:numPr>
          <w:ilvl w:val="0"/>
          <w:numId w:val="9"/>
        </w:numPr>
        <w:ind w:right="155"/>
        <w:rPr>
          <w:b/>
        </w:rPr>
      </w:pPr>
      <w:r w:rsidRPr="004160A9">
        <w:rPr>
          <w:b/>
        </w:rPr>
        <w:t>¿Cuáles registros se deben conservar como evidencia de las auditorías internas y de las acciones correctivas</w:t>
      </w:r>
      <w:r w:rsidR="00ED74F9" w:rsidRPr="004160A9">
        <w:rPr>
          <w:b/>
        </w:rPr>
        <w:t>?</w:t>
      </w:r>
    </w:p>
    <w:p w14:paraId="4219AB16" w14:textId="77777777" w:rsidR="00623BAF" w:rsidRPr="004160A9" w:rsidRDefault="00623BAF" w:rsidP="00623BAF">
      <w:pPr>
        <w:pStyle w:val="Prrafodelista"/>
        <w:ind w:left="1440" w:right="155" w:firstLine="0"/>
      </w:pPr>
    </w:p>
    <w:p w14:paraId="440E9991" w14:textId="524A0D60" w:rsidR="004737B8" w:rsidRPr="004160A9" w:rsidRDefault="004737B8" w:rsidP="00466377">
      <w:pPr>
        <w:pStyle w:val="Prrafodelista"/>
        <w:numPr>
          <w:ilvl w:val="0"/>
          <w:numId w:val="3"/>
        </w:numPr>
        <w:ind w:right="155"/>
      </w:pPr>
      <w:r w:rsidRPr="004160A9">
        <w:t>Programa de Auditoría</w:t>
      </w:r>
      <w:r w:rsidR="00741732" w:rsidRPr="004160A9">
        <w:t xml:space="preserve"> (calendario, objetivos, alcance, riesgos y oportunidades, </w:t>
      </w:r>
      <w:r w:rsidR="004838E2" w:rsidRPr="004160A9">
        <w:t xml:space="preserve">planes de auditoria, evaluación de competencias del equipo auditor, criterios de selección de auditores, mantenimiento y mejora de la competencia de auditores, entre otros.) </w:t>
      </w:r>
    </w:p>
    <w:p w14:paraId="1A21D9BF" w14:textId="6D183C0E" w:rsidR="004737B8" w:rsidRPr="004160A9" w:rsidRDefault="004737B8" w:rsidP="00466377">
      <w:pPr>
        <w:pStyle w:val="Prrafodelista"/>
        <w:numPr>
          <w:ilvl w:val="0"/>
          <w:numId w:val="3"/>
        </w:numPr>
        <w:ind w:right="155"/>
      </w:pPr>
      <w:r w:rsidRPr="004160A9">
        <w:lastRenderedPageBreak/>
        <w:t>Criterios de auditoria</w:t>
      </w:r>
    </w:p>
    <w:p w14:paraId="6CCBB0DF" w14:textId="522DFA76" w:rsidR="004737B8" w:rsidRPr="004160A9" w:rsidRDefault="004737B8" w:rsidP="00466377">
      <w:pPr>
        <w:pStyle w:val="Prrafodelista"/>
        <w:numPr>
          <w:ilvl w:val="0"/>
          <w:numId w:val="3"/>
        </w:numPr>
        <w:ind w:right="155"/>
      </w:pPr>
      <w:r w:rsidRPr="004160A9">
        <w:t>Alcance de cada auditoría</w:t>
      </w:r>
    </w:p>
    <w:p w14:paraId="55C4CA77" w14:textId="5AF36836" w:rsidR="004737B8" w:rsidRPr="004160A9" w:rsidRDefault="004737B8" w:rsidP="00466377">
      <w:pPr>
        <w:pStyle w:val="Prrafodelista"/>
        <w:numPr>
          <w:ilvl w:val="0"/>
          <w:numId w:val="3"/>
        </w:numPr>
        <w:ind w:right="155"/>
      </w:pPr>
      <w:r w:rsidRPr="004160A9">
        <w:t>Informes de resultados de auditoría</w:t>
      </w:r>
    </w:p>
    <w:p w14:paraId="20CC9D55" w14:textId="1858EF53" w:rsidR="004737B8" w:rsidRPr="004160A9" w:rsidRDefault="004737B8" w:rsidP="00466377">
      <w:pPr>
        <w:pStyle w:val="Prrafodelista"/>
        <w:numPr>
          <w:ilvl w:val="0"/>
          <w:numId w:val="3"/>
        </w:numPr>
        <w:ind w:right="155"/>
      </w:pPr>
      <w:r w:rsidRPr="004160A9">
        <w:t>Reporte de NO CONFORMIDAD</w:t>
      </w:r>
    </w:p>
    <w:p w14:paraId="4C07E877" w14:textId="7D7D586E" w:rsidR="004737B8" w:rsidRPr="004160A9" w:rsidRDefault="004737B8" w:rsidP="00466377">
      <w:pPr>
        <w:pStyle w:val="Prrafodelista"/>
        <w:numPr>
          <w:ilvl w:val="0"/>
          <w:numId w:val="3"/>
        </w:numPr>
        <w:ind w:right="155"/>
      </w:pPr>
      <w:r w:rsidRPr="004160A9">
        <w:t>Reporte de correcciones y acciones correctivas</w:t>
      </w:r>
    </w:p>
    <w:p w14:paraId="26E1F428" w14:textId="2038FD9A" w:rsidR="004737B8" w:rsidRPr="004160A9" w:rsidRDefault="004737B8" w:rsidP="00466377">
      <w:pPr>
        <w:pStyle w:val="Prrafodelista"/>
        <w:numPr>
          <w:ilvl w:val="0"/>
          <w:numId w:val="3"/>
        </w:numPr>
        <w:ind w:right="155"/>
      </w:pPr>
      <w:r w:rsidRPr="004160A9">
        <w:t>Revisión y análisis de la no conformidad</w:t>
      </w:r>
    </w:p>
    <w:p w14:paraId="233E185A" w14:textId="1A9CF4A7" w:rsidR="004737B8" w:rsidRPr="004160A9" w:rsidRDefault="004737B8" w:rsidP="00466377">
      <w:pPr>
        <w:pStyle w:val="Prrafodelista"/>
        <w:numPr>
          <w:ilvl w:val="0"/>
          <w:numId w:val="3"/>
        </w:numPr>
        <w:ind w:right="155"/>
      </w:pPr>
      <w:r w:rsidRPr="004160A9">
        <w:t>Determinación de las causas de la no conformidad</w:t>
      </w:r>
    </w:p>
    <w:p w14:paraId="58B7B4B9" w14:textId="5484E379" w:rsidR="004737B8" w:rsidRPr="004160A9" w:rsidRDefault="004737B8" w:rsidP="00466377">
      <w:pPr>
        <w:pStyle w:val="Prrafodelista"/>
        <w:numPr>
          <w:ilvl w:val="0"/>
          <w:numId w:val="3"/>
        </w:numPr>
        <w:ind w:right="155"/>
      </w:pPr>
      <w:r w:rsidRPr="004160A9">
        <w:t>Plan de acción</w:t>
      </w:r>
    </w:p>
    <w:p w14:paraId="2F791E1C" w14:textId="4B495C72" w:rsidR="004737B8" w:rsidRPr="004160A9" w:rsidRDefault="004737B8" w:rsidP="00466377">
      <w:pPr>
        <w:pStyle w:val="Prrafodelista"/>
        <w:numPr>
          <w:ilvl w:val="0"/>
          <w:numId w:val="3"/>
        </w:numPr>
        <w:ind w:right="155"/>
      </w:pPr>
      <w:r w:rsidRPr="004160A9">
        <w:t xml:space="preserve">Revisión de la eficacia de la acción correctiva </w:t>
      </w:r>
    </w:p>
    <w:p w14:paraId="586C5376" w14:textId="232836C9" w:rsidR="004737B8" w:rsidRPr="004160A9" w:rsidRDefault="004737B8" w:rsidP="00466377">
      <w:pPr>
        <w:pStyle w:val="Prrafodelista"/>
        <w:numPr>
          <w:ilvl w:val="0"/>
          <w:numId w:val="3"/>
        </w:numPr>
        <w:ind w:right="155"/>
      </w:pPr>
      <w:r w:rsidRPr="004160A9">
        <w:t>Actualización de riesgos y oportunidades</w:t>
      </w:r>
    </w:p>
    <w:p w14:paraId="04AA5B8A" w14:textId="2ED005DA" w:rsidR="00741732" w:rsidRPr="004160A9" w:rsidRDefault="00741732" w:rsidP="00466377">
      <w:pPr>
        <w:pStyle w:val="Prrafodelista"/>
        <w:numPr>
          <w:ilvl w:val="0"/>
          <w:numId w:val="3"/>
        </w:numPr>
        <w:ind w:right="155"/>
      </w:pPr>
      <w:r w:rsidRPr="004160A9">
        <w:t xml:space="preserve">Cambios al sistema de gestión, si es necesario.  </w:t>
      </w:r>
    </w:p>
    <w:p w14:paraId="457FD963" w14:textId="33CAC89A" w:rsidR="008F2D13" w:rsidRPr="004160A9" w:rsidRDefault="008F2D13" w:rsidP="008F2D13">
      <w:pPr>
        <w:pStyle w:val="Prrafodelista"/>
        <w:numPr>
          <w:ilvl w:val="0"/>
          <w:numId w:val="3"/>
        </w:numPr>
        <w:ind w:right="155"/>
      </w:pPr>
      <w:r w:rsidRPr="004160A9">
        <w:t xml:space="preserve">Registro de Reunión de </w:t>
      </w:r>
      <w:r w:rsidRPr="004160A9">
        <w:t xml:space="preserve">Apertura de Auditoria </w:t>
      </w:r>
    </w:p>
    <w:p w14:paraId="5D634CA2" w14:textId="2A0EA04C" w:rsidR="008F2D13" w:rsidRPr="004160A9" w:rsidRDefault="008F2D13" w:rsidP="008F2D13">
      <w:pPr>
        <w:pStyle w:val="Prrafodelista"/>
        <w:numPr>
          <w:ilvl w:val="0"/>
          <w:numId w:val="3"/>
        </w:numPr>
        <w:ind w:right="155"/>
      </w:pPr>
      <w:r w:rsidRPr="004160A9">
        <w:t xml:space="preserve">Registro de Reunión de </w:t>
      </w:r>
      <w:r w:rsidRPr="004160A9">
        <w:t>Cierre</w:t>
      </w:r>
      <w:r w:rsidRPr="004160A9">
        <w:t xml:space="preserve"> de Auditoria </w:t>
      </w:r>
    </w:p>
    <w:p w14:paraId="1BB3C759" w14:textId="77777777" w:rsidR="004737B8" w:rsidRPr="004160A9" w:rsidRDefault="004737B8" w:rsidP="004737B8">
      <w:pPr>
        <w:ind w:right="155"/>
      </w:pPr>
    </w:p>
    <w:p w14:paraId="4EB9DF1E" w14:textId="77777777" w:rsidR="00623BAF" w:rsidRPr="004160A9" w:rsidRDefault="00623BAF" w:rsidP="004737B8">
      <w:pPr>
        <w:ind w:right="155"/>
      </w:pPr>
    </w:p>
    <w:p w14:paraId="08C5DD64" w14:textId="3BFEC6C1" w:rsidR="004D2329" w:rsidRPr="004160A9" w:rsidRDefault="00A84D4C">
      <w:pPr>
        <w:ind w:left="1090" w:right="155"/>
      </w:pPr>
      <w:r w:rsidRPr="004160A9">
        <w:rPr>
          <w:b/>
        </w:rPr>
        <w:t>2. ¿Qué es un hallazgo de auditoría? Nombre y defina cada tipo de hallazgo</w:t>
      </w:r>
      <w:r w:rsidRPr="004160A9">
        <w:t xml:space="preserve">. </w:t>
      </w:r>
    </w:p>
    <w:p w14:paraId="381BA75D" w14:textId="77777777" w:rsidR="0047556A" w:rsidRPr="004160A9" w:rsidRDefault="0047556A">
      <w:pPr>
        <w:ind w:left="1090" w:right="155"/>
      </w:pPr>
    </w:p>
    <w:p w14:paraId="4BBFB27B" w14:textId="50BDF46C" w:rsidR="00ED74F9" w:rsidRPr="004160A9" w:rsidRDefault="008F2D13">
      <w:pPr>
        <w:ind w:left="1090" w:right="155"/>
      </w:pPr>
      <w:r w:rsidRPr="004160A9">
        <w:t>Un</w:t>
      </w:r>
      <w:r w:rsidR="00DD68B1" w:rsidRPr="004160A9">
        <w:t xml:space="preserve"> hallazgo de auditoría es el resultado de la evaluación </w:t>
      </w:r>
      <w:r w:rsidR="0047556A" w:rsidRPr="004160A9">
        <w:t>de</w:t>
      </w:r>
      <w:r w:rsidRPr="004160A9">
        <w:t xml:space="preserve"> la evidencia de la auditoría recopilada frente a los criterios de auditoría (ISO 19011:2018).</w:t>
      </w:r>
    </w:p>
    <w:p w14:paraId="017871DD" w14:textId="77777777" w:rsidR="00466377" w:rsidRPr="004160A9" w:rsidRDefault="00466377">
      <w:pPr>
        <w:ind w:left="1090" w:right="155"/>
      </w:pPr>
    </w:p>
    <w:p w14:paraId="38A6E013" w14:textId="0B01BC8F" w:rsidR="0047556A" w:rsidRPr="004160A9" w:rsidRDefault="0047556A">
      <w:pPr>
        <w:ind w:left="1090" w:right="155"/>
      </w:pPr>
      <w:r w:rsidRPr="004160A9">
        <w:t>Tipos de hallazgo:</w:t>
      </w:r>
    </w:p>
    <w:p w14:paraId="5CAB79F0" w14:textId="1E0B865A" w:rsidR="0047556A" w:rsidRPr="004160A9" w:rsidRDefault="0047556A" w:rsidP="00466377">
      <w:pPr>
        <w:pStyle w:val="Prrafodelista"/>
        <w:numPr>
          <w:ilvl w:val="0"/>
          <w:numId w:val="6"/>
        </w:numPr>
        <w:ind w:right="155"/>
      </w:pPr>
      <w:r w:rsidRPr="004160A9">
        <w:t>De conformidad: que cumplen con los requisitos</w:t>
      </w:r>
    </w:p>
    <w:p w14:paraId="3B2DE3CB" w14:textId="3F8EADB9" w:rsidR="0047556A" w:rsidRPr="004160A9" w:rsidRDefault="008F2D13" w:rsidP="00466377">
      <w:pPr>
        <w:pStyle w:val="Prrafodelista"/>
        <w:numPr>
          <w:ilvl w:val="0"/>
          <w:numId w:val="6"/>
        </w:numPr>
        <w:ind w:right="155"/>
      </w:pPr>
      <w:r w:rsidRPr="004160A9">
        <w:t xml:space="preserve">De no conformidad: que no </w:t>
      </w:r>
      <w:r w:rsidR="0047556A" w:rsidRPr="004160A9">
        <w:t>cumplen con los requisitos</w:t>
      </w:r>
    </w:p>
    <w:p w14:paraId="366A1663" w14:textId="5FAB575D" w:rsidR="004D2329" w:rsidRPr="004160A9" w:rsidRDefault="004D2329" w:rsidP="008F2D13">
      <w:pPr>
        <w:spacing w:after="0" w:line="259" w:lineRule="auto"/>
        <w:ind w:left="0" w:firstLine="0"/>
        <w:jc w:val="left"/>
      </w:pPr>
    </w:p>
    <w:p w14:paraId="773B1478" w14:textId="77777777" w:rsidR="008F2D13" w:rsidRPr="004160A9" w:rsidRDefault="008F2D13" w:rsidP="008F2D13">
      <w:pPr>
        <w:spacing w:after="0" w:line="259" w:lineRule="auto"/>
        <w:ind w:left="0" w:firstLine="0"/>
        <w:jc w:val="left"/>
      </w:pPr>
    </w:p>
    <w:p w14:paraId="67E4E3FF" w14:textId="6705E98D" w:rsidR="0047556A" w:rsidRPr="004160A9" w:rsidRDefault="00A84D4C" w:rsidP="0047556A">
      <w:pPr>
        <w:ind w:left="1090" w:right="155"/>
        <w:rPr>
          <w:b/>
        </w:rPr>
      </w:pPr>
      <w:r w:rsidRPr="004160A9">
        <w:rPr>
          <w:b/>
        </w:rPr>
        <w:t>3. ¿Cómo y a quién auditaría el requisito de la norma ISO/IEC 17025 “Personal”?</w:t>
      </w:r>
    </w:p>
    <w:p w14:paraId="4503159C" w14:textId="77777777" w:rsidR="00CC0B41" w:rsidRPr="004160A9" w:rsidRDefault="00CC0B41" w:rsidP="0047556A">
      <w:pPr>
        <w:ind w:left="1090" w:right="155"/>
      </w:pPr>
    </w:p>
    <w:p w14:paraId="68DDC1DA" w14:textId="7BF58192" w:rsidR="00C87C15" w:rsidRPr="004160A9" w:rsidRDefault="00CC0B41" w:rsidP="0047556A">
      <w:pPr>
        <w:ind w:left="1090" w:right="155"/>
      </w:pPr>
      <w:r w:rsidRPr="004160A9">
        <w:t>El requisito de “personal” se puede auditar a través de entrevistas, revisión de la información documental, observación de actividades a desempeñar y muestreo de informes de resultados.</w:t>
      </w:r>
    </w:p>
    <w:p w14:paraId="76EDA4DB" w14:textId="77777777" w:rsidR="00CC0B41" w:rsidRPr="004160A9" w:rsidRDefault="00CC0B41" w:rsidP="0047556A">
      <w:pPr>
        <w:ind w:left="1090" w:right="155"/>
      </w:pPr>
    </w:p>
    <w:p w14:paraId="15DA4B9D" w14:textId="670C56E0" w:rsidR="00CC0B41" w:rsidRPr="004160A9" w:rsidRDefault="00CC0B41" w:rsidP="0047556A">
      <w:pPr>
        <w:ind w:left="1090" w:right="155"/>
      </w:pPr>
      <w:r w:rsidRPr="004160A9">
        <w:t>E</w:t>
      </w:r>
      <w:r w:rsidRPr="004160A9">
        <w:t>n el</w:t>
      </w:r>
      <w:r w:rsidRPr="004160A9">
        <w:t xml:space="preserve"> requisito de “personal” se puede auditar</w:t>
      </w:r>
      <w:r w:rsidRPr="004160A9">
        <w:t xml:space="preserve"> a:</w:t>
      </w:r>
    </w:p>
    <w:p w14:paraId="5F6DBC78" w14:textId="0ED25CA7" w:rsidR="00CC0B41" w:rsidRPr="004160A9" w:rsidRDefault="00CC0B41" w:rsidP="00CC0B41">
      <w:pPr>
        <w:pStyle w:val="Prrafodelista"/>
        <w:numPr>
          <w:ilvl w:val="0"/>
          <w:numId w:val="8"/>
        </w:numPr>
        <w:ind w:right="155"/>
      </w:pPr>
      <w:r w:rsidRPr="004160A9">
        <w:t>El director del laboratorio</w:t>
      </w:r>
    </w:p>
    <w:p w14:paraId="1284E1AD" w14:textId="7CFB39D2" w:rsidR="00CC0B41" w:rsidRPr="004160A9" w:rsidRDefault="00CC0B41" w:rsidP="00CC0B41">
      <w:pPr>
        <w:pStyle w:val="Prrafodelista"/>
        <w:numPr>
          <w:ilvl w:val="0"/>
          <w:numId w:val="8"/>
        </w:numPr>
        <w:ind w:right="155"/>
      </w:pPr>
      <w:r w:rsidRPr="004160A9">
        <w:t>El personal del laboratorio</w:t>
      </w:r>
    </w:p>
    <w:p w14:paraId="4CE62D7E" w14:textId="04F5E7BD" w:rsidR="00CC0B41" w:rsidRPr="004160A9" w:rsidRDefault="00CC0B41" w:rsidP="00CC0B41">
      <w:pPr>
        <w:pStyle w:val="Prrafodelista"/>
        <w:numPr>
          <w:ilvl w:val="0"/>
          <w:numId w:val="8"/>
        </w:numPr>
        <w:ind w:right="155"/>
      </w:pPr>
      <w:r w:rsidRPr="004160A9">
        <w:t>El director de Recursos Humanos (En caso de que exista)</w:t>
      </w:r>
    </w:p>
    <w:p w14:paraId="2879C009" w14:textId="77777777" w:rsidR="00466377" w:rsidRPr="004160A9" w:rsidRDefault="00466377" w:rsidP="0047556A">
      <w:pPr>
        <w:ind w:left="1090" w:right="155"/>
      </w:pPr>
    </w:p>
    <w:p w14:paraId="2E363E5A" w14:textId="77777777" w:rsidR="00623BAF" w:rsidRPr="004160A9" w:rsidRDefault="00623BAF">
      <w:pPr>
        <w:spacing w:after="0" w:line="259" w:lineRule="auto"/>
        <w:ind w:left="1440" w:firstLine="0"/>
        <w:jc w:val="left"/>
      </w:pPr>
    </w:p>
    <w:p w14:paraId="228001C1" w14:textId="455EB53B" w:rsidR="002130B7" w:rsidRPr="004160A9" w:rsidRDefault="00A84D4C" w:rsidP="00466377">
      <w:pPr>
        <w:ind w:left="1440" w:right="155" w:hanging="360"/>
        <w:rPr>
          <w:b/>
        </w:rPr>
      </w:pPr>
      <w:r w:rsidRPr="004160A9">
        <w:rPr>
          <w:b/>
        </w:rPr>
        <w:lastRenderedPageBreak/>
        <w:t>4</w:t>
      </w:r>
      <w:r w:rsidRPr="004160A9">
        <w:t xml:space="preserve">. </w:t>
      </w:r>
      <w:r w:rsidRPr="004160A9">
        <w:rPr>
          <w:b/>
        </w:rPr>
        <w:t xml:space="preserve">Durante una testificación a la ejecución de un ensayo, liste por lo menos seis aspectos a auditar identificando los requisitos aplicables de la norma ISO/IEC 17025:2017 </w:t>
      </w:r>
    </w:p>
    <w:p w14:paraId="4CFF9620" w14:textId="77777777" w:rsidR="00C87C15" w:rsidRPr="004160A9" w:rsidRDefault="00C87C15" w:rsidP="002130B7">
      <w:pPr>
        <w:ind w:left="1435" w:right="155"/>
      </w:pPr>
    </w:p>
    <w:p w14:paraId="2BD032E9" w14:textId="77777777" w:rsidR="003174CB" w:rsidRPr="004160A9" w:rsidRDefault="004F0D03" w:rsidP="004F0D03">
      <w:pPr>
        <w:pStyle w:val="Prrafodelista"/>
        <w:numPr>
          <w:ilvl w:val="0"/>
          <w:numId w:val="4"/>
        </w:numPr>
        <w:ind w:right="155"/>
      </w:pPr>
      <w:r w:rsidRPr="004160A9">
        <w:t xml:space="preserve">Instalaciones y condiciones ambientales adecuadas para las actividades de laboratorio sin afectar </w:t>
      </w:r>
      <w:r w:rsidR="003174CB" w:rsidRPr="004160A9">
        <w:t>adversamente</w:t>
      </w:r>
      <w:r w:rsidRPr="004160A9">
        <w:t xml:space="preserve"> la validez de los resultados, de acuerdo a ítem 6.3.1.</w:t>
      </w:r>
    </w:p>
    <w:p w14:paraId="5C994766" w14:textId="7606B948" w:rsidR="004F0D03" w:rsidRPr="004160A9" w:rsidRDefault="003174CB" w:rsidP="004F0D03">
      <w:pPr>
        <w:pStyle w:val="Prrafodelista"/>
        <w:numPr>
          <w:ilvl w:val="0"/>
          <w:numId w:val="4"/>
        </w:numPr>
        <w:ind w:right="155"/>
      </w:pPr>
      <w:r w:rsidRPr="004160A9">
        <w:t xml:space="preserve"> S</w:t>
      </w:r>
      <w:r w:rsidR="004F0D03" w:rsidRPr="004160A9">
        <w:t>eguimiento, control y registro de las condiciones ambientales de acuerdo con las especificaciones</w:t>
      </w:r>
      <w:r w:rsidR="00F16F6C" w:rsidRPr="004160A9">
        <w:t>, métodos o procedimientos pertinentes o cuando influyan en la validez de los resultados de acuerdo a</w:t>
      </w:r>
      <w:r w:rsidR="00991A3A" w:rsidRPr="004160A9">
        <w:t>l numeral</w:t>
      </w:r>
      <w:r w:rsidR="00F16F6C" w:rsidRPr="004160A9">
        <w:t xml:space="preserve"> 6.3.3.</w:t>
      </w:r>
    </w:p>
    <w:p w14:paraId="7C3684DB" w14:textId="0D542E20" w:rsidR="003174CB" w:rsidRPr="004160A9" w:rsidRDefault="00F16F6C" w:rsidP="004F0D03">
      <w:pPr>
        <w:pStyle w:val="Prrafodelista"/>
        <w:numPr>
          <w:ilvl w:val="0"/>
          <w:numId w:val="4"/>
        </w:numPr>
        <w:ind w:right="155"/>
      </w:pPr>
      <w:r w:rsidRPr="004160A9">
        <w:t xml:space="preserve">Equipamiento </w:t>
      </w:r>
      <w:r w:rsidR="003174CB" w:rsidRPr="004160A9">
        <w:t>que cumple con los requisitos especificados antes de ser instalado o reinstalado para su servicio, de acuerdo al numeral 6.4.4.</w:t>
      </w:r>
    </w:p>
    <w:p w14:paraId="7C3684DB" w14:textId="0D542E20" w:rsidR="00F16F6C" w:rsidRPr="004160A9" w:rsidRDefault="003174CB" w:rsidP="004F0D03">
      <w:pPr>
        <w:pStyle w:val="Prrafodelista"/>
        <w:numPr>
          <w:ilvl w:val="0"/>
          <w:numId w:val="4"/>
        </w:numPr>
        <w:ind w:right="155"/>
      </w:pPr>
      <w:r w:rsidRPr="004160A9">
        <w:t>El Equipamiento debe ser capaz de lograr</w:t>
      </w:r>
      <w:r w:rsidR="00F16F6C" w:rsidRPr="004160A9">
        <w:t xml:space="preserve"> la exactitud de la medición y/o la incertidumbre de la medición requerida para proporcionar un r</w:t>
      </w:r>
      <w:r w:rsidRPr="004160A9">
        <w:t>esultado válido, de acuerdo al</w:t>
      </w:r>
      <w:r w:rsidR="00F16F6C" w:rsidRPr="004160A9">
        <w:t xml:space="preserve"> </w:t>
      </w:r>
      <w:r w:rsidRPr="004160A9">
        <w:t xml:space="preserve">numeral </w:t>
      </w:r>
      <w:r w:rsidR="00F16F6C" w:rsidRPr="004160A9">
        <w:t>6.4.5.</w:t>
      </w:r>
    </w:p>
    <w:p w14:paraId="188809A7" w14:textId="383D9FC0" w:rsidR="00991A3A" w:rsidRPr="004160A9" w:rsidRDefault="003174CB" w:rsidP="004F0D03">
      <w:pPr>
        <w:pStyle w:val="Prrafodelista"/>
        <w:numPr>
          <w:ilvl w:val="0"/>
          <w:numId w:val="4"/>
        </w:numPr>
        <w:ind w:right="155"/>
      </w:pPr>
      <w:r w:rsidRPr="004160A9">
        <w:t xml:space="preserve">El equipo de medición debe ser calibrado </w:t>
      </w:r>
      <w:r w:rsidR="00991A3A" w:rsidRPr="004160A9">
        <w:t>de acuerdo al numeral 6.4.6.</w:t>
      </w:r>
    </w:p>
    <w:p w14:paraId="2F2664EA" w14:textId="0C4A9C2B" w:rsidR="003174CB" w:rsidRPr="004160A9" w:rsidRDefault="003174CB" w:rsidP="004F0D03">
      <w:pPr>
        <w:pStyle w:val="Prrafodelista"/>
        <w:numPr>
          <w:ilvl w:val="0"/>
          <w:numId w:val="4"/>
        </w:numPr>
        <w:ind w:right="155"/>
      </w:pPr>
      <w:r w:rsidRPr="004160A9">
        <w:t>El laboratorio debe usar métodos y procedimientos apropiados para todas las actividades del laboratorio y, cuando sea apropiado, para la evaluación de la incertidumbre</w:t>
      </w:r>
      <w:r w:rsidR="00623BAF" w:rsidRPr="004160A9">
        <w:t xml:space="preserve"> de medición, así como también las técnicas estadísticas de análisis de datos, de acuerdo al numeral 7.2.1.1. </w:t>
      </w:r>
    </w:p>
    <w:p w14:paraId="3590C9AF" w14:textId="383B975B" w:rsidR="00830518" w:rsidRPr="004160A9" w:rsidRDefault="00991A3A" w:rsidP="004F0D03">
      <w:pPr>
        <w:pStyle w:val="Prrafodelista"/>
        <w:numPr>
          <w:ilvl w:val="0"/>
          <w:numId w:val="4"/>
        </w:numPr>
        <w:ind w:right="155"/>
      </w:pPr>
      <w:r w:rsidRPr="004160A9">
        <w:t>Conservación</w:t>
      </w:r>
      <w:r w:rsidR="00623BAF" w:rsidRPr="004160A9">
        <w:t xml:space="preserve"> de los registros de</w:t>
      </w:r>
      <w:r w:rsidRPr="004160A9">
        <w:t xml:space="preserve"> los datos de muestreo que forman parte del ensayo o de la</w:t>
      </w:r>
      <w:r w:rsidR="00623BAF" w:rsidRPr="004160A9">
        <w:t xml:space="preserve"> calibración que se realiza</w:t>
      </w:r>
      <w:r w:rsidRPr="004160A9">
        <w:t>, de acuerdo al numeral 7.3.3.</w:t>
      </w:r>
    </w:p>
    <w:p w14:paraId="29CD0475" w14:textId="77777777" w:rsidR="00930AF5" w:rsidRPr="004160A9" w:rsidRDefault="00930AF5" w:rsidP="00930AF5">
      <w:pPr>
        <w:pStyle w:val="Prrafodelista"/>
        <w:ind w:left="1770" w:right="155" w:firstLine="0"/>
      </w:pPr>
    </w:p>
    <w:p w14:paraId="02F74DF9" w14:textId="77777777" w:rsidR="003474C5" w:rsidRPr="004160A9" w:rsidRDefault="003474C5" w:rsidP="00930AF5">
      <w:pPr>
        <w:pStyle w:val="Prrafodelista"/>
        <w:ind w:left="1770" w:right="155" w:firstLine="0"/>
      </w:pPr>
    </w:p>
    <w:p w14:paraId="550758CC" w14:textId="1CB9619E" w:rsidR="004D2329" w:rsidRPr="004160A9" w:rsidRDefault="00A84D4C" w:rsidP="00466377">
      <w:pPr>
        <w:ind w:right="155"/>
      </w:pPr>
      <w:r w:rsidRPr="004160A9">
        <w:rPr>
          <w:b/>
        </w:rPr>
        <w:t xml:space="preserve">SECCIÓN C. REPORTE DE NO CONFORMIDADES (15 PUNTOS) </w:t>
      </w:r>
    </w:p>
    <w:p w14:paraId="15E67782" w14:textId="77777777" w:rsidR="004D2329" w:rsidRPr="004160A9" w:rsidRDefault="00A84D4C">
      <w:pPr>
        <w:spacing w:after="0" w:line="259" w:lineRule="auto"/>
        <w:ind w:left="0" w:right="119" w:firstLine="0"/>
        <w:jc w:val="center"/>
      </w:pPr>
      <w:r w:rsidRPr="004160A9">
        <w:rPr>
          <w:b/>
        </w:rPr>
        <w:t xml:space="preserve"> </w:t>
      </w:r>
    </w:p>
    <w:p w14:paraId="45837132" w14:textId="77777777" w:rsidR="004D2329" w:rsidRPr="004160A9" w:rsidRDefault="00A84D4C">
      <w:pPr>
        <w:ind w:right="155"/>
      </w:pPr>
      <w:r w:rsidRPr="004160A9">
        <w:t xml:space="preserve">A continuación se describen tres situaciones presentadas durante distintos procesos de auditoría. </w:t>
      </w:r>
    </w:p>
    <w:p w14:paraId="5E9A6321" w14:textId="77777777" w:rsidR="004D2329" w:rsidRPr="004160A9" w:rsidRDefault="00A84D4C">
      <w:pPr>
        <w:ind w:right="155"/>
      </w:pPr>
      <w:r w:rsidRPr="004160A9">
        <w:t xml:space="preserve">En cada caso </w:t>
      </w:r>
      <w:r w:rsidRPr="004160A9">
        <w:rPr>
          <w:u w:val="single" w:color="000000"/>
        </w:rPr>
        <w:t>​puede</w:t>
      </w:r>
      <w:r w:rsidRPr="004160A9">
        <w:t xml:space="preserve"> necesitarse un reporte de no conformidad. Examine cuidadosamente cada situación y tome una de las siguientes acciones:  </w:t>
      </w:r>
    </w:p>
    <w:p w14:paraId="63D9CC44" w14:textId="77777777" w:rsidR="004D2329" w:rsidRPr="004160A9" w:rsidRDefault="00A84D4C">
      <w:pPr>
        <w:spacing w:after="102" w:line="259" w:lineRule="auto"/>
        <w:ind w:left="720" w:firstLine="0"/>
        <w:jc w:val="left"/>
      </w:pPr>
      <w:r w:rsidRPr="004160A9">
        <w:t xml:space="preserve"> </w:t>
      </w:r>
    </w:p>
    <w:p w14:paraId="357E4065" w14:textId="77777777" w:rsidR="004D2329" w:rsidRPr="004160A9" w:rsidRDefault="00A84D4C">
      <w:pPr>
        <w:numPr>
          <w:ilvl w:val="0"/>
          <w:numId w:val="1"/>
        </w:numPr>
        <w:spacing w:after="116"/>
        <w:ind w:right="155" w:hanging="720"/>
      </w:pPr>
      <w:r w:rsidRPr="004160A9">
        <w:t xml:space="preserve">Si usted piensa que hay suficiente evidencia objetiva para levantar una no conformidad, entonces llene completamente el reporte de no conformidad.  </w:t>
      </w:r>
    </w:p>
    <w:p w14:paraId="4779278D" w14:textId="77777777" w:rsidR="004D2329" w:rsidRPr="004160A9" w:rsidRDefault="00A84D4C">
      <w:pPr>
        <w:numPr>
          <w:ilvl w:val="0"/>
          <w:numId w:val="1"/>
        </w:numPr>
        <w:ind w:right="155" w:hanging="720"/>
      </w:pPr>
      <w:r w:rsidRPr="004160A9">
        <w:t xml:space="preserve">Si usted piensa que </w:t>
      </w:r>
      <w:r w:rsidRPr="004160A9">
        <w:rPr>
          <w:u w:val="single" w:color="000000"/>
        </w:rPr>
        <w:t>​no</w:t>
      </w:r>
      <w:r w:rsidRPr="004160A9">
        <w:t xml:space="preserve"> existe suficiente evidencia objetiva para levantar una no conformidad, entonces indique sus razones en el espacio inferior del reporte e indique qué debería hacer el auditor. </w:t>
      </w:r>
    </w:p>
    <w:p w14:paraId="0DEF234B" w14:textId="77777777" w:rsidR="004D2329" w:rsidRPr="004160A9" w:rsidRDefault="00A84D4C">
      <w:pPr>
        <w:spacing w:after="0" w:line="259" w:lineRule="auto"/>
        <w:ind w:left="1440" w:firstLine="0"/>
        <w:jc w:val="left"/>
      </w:pPr>
      <w:r w:rsidRPr="004160A9">
        <w:t xml:space="preserve"> </w:t>
      </w:r>
    </w:p>
    <w:p w14:paraId="2A29AA45" w14:textId="77777777" w:rsidR="004D2329" w:rsidRPr="004160A9" w:rsidRDefault="00A84D4C">
      <w:pPr>
        <w:pStyle w:val="Ttulo1"/>
        <w:ind w:left="10"/>
      </w:pPr>
      <w:r w:rsidRPr="004160A9">
        <w:lastRenderedPageBreak/>
        <w:t xml:space="preserve">Incidente 1. (5 puntos) </w:t>
      </w:r>
    </w:p>
    <w:p w14:paraId="137B88C3" w14:textId="15A9CB7E" w:rsidR="00F549DE" w:rsidRPr="004160A9" w:rsidRDefault="00A84D4C" w:rsidP="00F549DE">
      <w:pPr>
        <w:ind w:left="720" w:right="155" w:hanging="720"/>
        <w:rPr>
          <w:b/>
        </w:rPr>
      </w:pPr>
      <w:r w:rsidRPr="004160A9"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  <w:r w:rsidRPr="004160A9">
        <w:rPr>
          <w:b/>
        </w:rPr>
        <w:t xml:space="preserve"> </w:t>
      </w:r>
    </w:p>
    <w:p w14:paraId="2DF07119" w14:textId="77777777" w:rsidR="00EF396B" w:rsidRPr="004160A9" w:rsidRDefault="00EF396B" w:rsidP="00F549DE">
      <w:pPr>
        <w:ind w:left="720" w:right="155" w:hanging="720"/>
        <w:rPr>
          <w:b/>
        </w:rPr>
      </w:pPr>
    </w:p>
    <w:p w14:paraId="40218F8E" w14:textId="614E4CDA" w:rsidR="00F549DE" w:rsidRPr="004160A9" w:rsidRDefault="00F549DE" w:rsidP="00F549DE">
      <w:pPr>
        <w:ind w:left="720" w:right="155" w:hanging="720"/>
        <w:rPr>
          <w:bCs/>
        </w:rPr>
      </w:pPr>
      <w:r w:rsidRPr="004160A9">
        <w:rPr>
          <w:bCs/>
        </w:rPr>
        <w:t>Se llena el reporte de no conformidad:</w:t>
      </w:r>
    </w:p>
    <w:tbl>
      <w:tblPr>
        <w:tblStyle w:val="TableGrid"/>
        <w:tblW w:w="9030" w:type="dxa"/>
        <w:tblInd w:w="1050" w:type="dxa"/>
        <w:tblCellMar>
          <w:top w:w="64" w:type="dxa"/>
          <w:left w:w="93" w:type="dxa"/>
          <w:right w:w="61" w:type="dxa"/>
        </w:tblCellMar>
        <w:tblLook w:val="04A0" w:firstRow="1" w:lastRow="0" w:firstColumn="1" w:lastColumn="0" w:noHBand="0" w:noVBand="1"/>
      </w:tblPr>
      <w:tblGrid>
        <w:gridCol w:w="9030"/>
      </w:tblGrid>
      <w:tr w:rsidR="00F549DE" w:rsidRPr="004160A9" w14:paraId="0FABCC43" w14:textId="77777777" w:rsidTr="00A63131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62DB" w14:textId="419EC803" w:rsidR="00F549DE" w:rsidRPr="004160A9" w:rsidRDefault="003474C5" w:rsidP="00A63131">
            <w:pPr>
              <w:spacing w:after="0" w:line="259" w:lineRule="auto"/>
              <w:ind w:left="0" w:right="139" w:firstLine="0"/>
              <w:jc w:val="right"/>
              <w:rPr>
                <w:color w:val="auto"/>
              </w:rPr>
            </w:pPr>
            <w:r w:rsidRPr="004160A9">
              <w:rPr>
                <w:color w:val="auto"/>
              </w:rPr>
              <w:t>Incidente Número​:</w:t>
            </w:r>
            <w:r w:rsidR="00F549DE" w:rsidRPr="004160A9">
              <w:rPr>
                <w:color w:val="auto"/>
              </w:rPr>
              <w:t xml:space="preserve">1 </w:t>
            </w:r>
          </w:p>
          <w:p w14:paraId="2BEF2003" w14:textId="77777777" w:rsidR="00F549DE" w:rsidRPr="004160A9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4160A9">
              <w:rPr>
                <w:b/>
                <w:color w:val="auto"/>
              </w:rPr>
              <w:t xml:space="preserve">REPORTE DE NO CONFORMIDAD </w:t>
            </w:r>
          </w:p>
        </w:tc>
      </w:tr>
      <w:tr w:rsidR="00F549DE" w:rsidRPr="004160A9" w14:paraId="2D62F16A" w14:textId="77777777" w:rsidTr="00A63131">
        <w:trPr>
          <w:trHeight w:val="39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F085" w14:textId="1C374FEF" w:rsidR="00F549DE" w:rsidRPr="004160A9" w:rsidRDefault="0031691F" w:rsidP="003474C5">
            <w:pPr>
              <w:tabs>
                <w:tab w:val="right" w:pos="8876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>Compañía Auditada:  ​FGH LTDA</w:t>
            </w:r>
            <w:r w:rsidR="00F549DE" w:rsidRPr="004160A9">
              <w:rPr>
                <w:color w:val="auto"/>
              </w:rPr>
              <w:tab/>
            </w:r>
            <w:r w:rsidR="003474C5" w:rsidRPr="004160A9">
              <w:rPr>
                <w:color w:val="auto"/>
              </w:rPr>
              <w:t xml:space="preserve">Reporte Número: </w:t>
            </w:r>
            <w:r w:rsidR="00F549DE" w:rsidRPr="004160A9">
              <w:rPr>
                <w:color w:val="auto"/>
              </w:rPr>
              <w:t xml:space="preserve">1 </w:t>
            </w:r>
          </w:p>
        </w:tc>
      </w:tr>
      <w:tr w:rsidR="00F549DE" w:rsidRPr="004160A9" w14:paraId="4B1F2222" w14:textId="77777777" w:rsidTr="00A63131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5B21F" w14:textId="7A23BEC6" w:rsidR="00F549DE" w:rsidRPr="004160A9" w:rsidRDefault="00F549DE" w:rsidP="00C33EC0">
            <w:pPr>
              <w:tabs>
                <w:tab w:val="right" w:pos="8876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>Proceso Auditado: ​LAB</w:t>
            </w:r>
            <w:r w:rsidR="0031691F" w:rsidRPr="004160A9">
              <w:rPr>
                <w:color w:val="auto"/>
              </w:rPr>
              <w:t>ORATORIO</w:t>
            </w:r>
            <w:r w:rsidRPr="004160A9">
              <w:rPr>
                <w:color w:val="auto"/>
              </w:rPr>
              <w:tab/>
              <w:t>ISO/IE</w:t>
            </w:r>
            <w:r w:rsidR="00C33EC0" w:rsidRPr="004160A9">
              <w:rPr>
                <w:color w:val="auto"/>
              </w:rPr>
              <w:t>C 17025:2017 Numeral: ​6.6.2 c)</w:t>
            </w:r>
          </w:p>
        </w:tc>
      </w:tr>
      <w:tr w:rsidR="00F549DE" w:rsidRPr="004160A9" w14:paraId="16C810E5" w14:textId="77777777" w:rsidTr="00A63131">
        <w:trPr>
          <w:trHeight w:val="34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8B661" w14:textId="5D8E77B9" w:rsidR="0031691F" w:rsidRPr="004160A9" w:rsidRDefault="00F549DE" w:rsidP="00C33EC0">
            <w:pPr>
              <w:spacing w:after="0" w:line="259" w:lineRule="auto"/>
              <w:ind w:left="0" w:firstLine="0"/>
              <w:jc w:val="left"/>
              <w:rPr>
                <w:color w:val="auto"/>
                <w:sz w:val="25"/>
              </w:rPr>
            </w:pPr>
            <w:r w:rsidRPr="004160A9">
              <w:rPr>
                <w:color w:val="auto"/>
                <w:sz w:val="25"/>
              </w:rPr>
              <w:t xml:space="preserve">Descripción de la no conformidad: </w:t>
            </w:r>
          </w:p>
          <w:p w14:paraId="3D93E07B" w14:textId="77777777" w:rsidR="00C33EC0" w:rsidRPr="004160A9" w:rsidRDefault="00C33EC0" w:rsidP="00C33EC0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</w:p>
          <w:p w14:paraId="6F758C74" w14:textId="7EBF4BD0" w:rsidR="00F549DE" w:rsidRPr="004160A9" w:rsidRDefault="0031691F" w:rsidP="0031691F">
            <w:pPr>
              <w:spacing w:after="0" w:line="259" w:lineRule="auto"/>
              <w:ind w:left="12" w:firstLine="0"/>
              <w:rPr>
                <w:color w:val="auto"/>
              </w:rPr>
            </w:pPr>
            <w:r w:rsidRPr="004160A9">
              <w:t xml:space="preserve">El laboratorio no tiene evidencias (registros) que aseguren que </w:t>
            </w:r>
            <w:r w:rsidRPr="004160A9">
              <w:t>los suministros, reactivos y materiales comprados</w:t>
            </w:r>
            <w:r w:rsidRPr="004160A9">
              <w:t xml:space="preserve"> externamente,</w:t>
            </w:r>
            <w:r w:rsidR="00F549DE" w:rsidRPr="004160A9">
              <w:rPr>
                <w:color w:val="auto"/>
              </w:rPr>
              <w:t xml:space="preserve"> </w:t>
            </w:r>
            <w:r w:rsidRPr="004160A9">
              <w:rPr>
                <w:color w:val="auto"/>
              </w:rPr>
              <w:t>cumplen con los requisitos establecidos, antes de que dichos productos se usen o se suministren al cliente.</w:t>
            </w:r>
          </w:p>
          <w:p w14:paraId="362015AF" w14:textId="0BCC69F2" w:rsidR="00F549DE" w:rsidRPr="004160A9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</w:p>
          <w:p w14:paraId="07ECABA6" w14:textId="77777777" w:rsidR="00F549DE" w:rsidRPr="004160A9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 xml:space="preserve">EVIDENCIA </w:t>
            </w:r>
          </w:p>
          <w:p w14:paraId="6D179437" w14:textId="77777777" w:rsidR="00C33EC0" w:rsidRPr="004160A9" w:rsidRDefault="00C33EC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</w:p>
          <w:p w14:paraId="3C9DF166" w14:textId="77777777" w:rsidR="0031691F" w:rsidRPr="004160A9" w:rsidRDefault="0031691F" w:rsidP="00C33EC0">
            <w:pPr>
              <w:spacing w:after="0" w:line="259" w:lineRule="auto"/>
              <w:ind w:left="12" w:right="75" w:firstLine="0"/>
              <w:rPr>
                <w:color w:val="auto"/>
              </w:rPr>
            </w:pPr>
            <w:r w:rsidRPr="004160A9">
              <w:rPr>
                <w:color w:val="auto"/>
              </w:rPr>
              <w:t>El auditado comenta que los proveedores son evaluados y todos han sido satisfactorios, pero, n</w:t>
            </w:r>
            <w:r w:rsidR="00F549DE" w:rsidRPr="004160A9">
              <w:rPr>
                <w:color w:val="auto"/>
              </w:rPr>
              <w:t>o existe evidencia de que el laboratorio inspecciona o verifica que los suministros, reactivos y materiales comprados que afectan la calidad de los ensayos, calibraciones o mediciones cumplan con los requisitos definidos, antes de ser utilizados</w:t>
            </w:r>
            <w:r w:rsidR="001543DD" w:rsidRPr="004160A9">
              <w:rPr>
                <w:color w:val="auto"/>
              </w:rPr>
              <w:t>.</w:t>
            </w:r>
          </w:p>
          <w:p w14:paraId="1D81C750" w14:textId="0D9B010B" w:rsidR="00C33EC0" w:rsidRPr="004160A9" w:rsidRDefault="00C33EC0" w:rsidP="00C33EC0">
            <w:pPr>
              <w:spacing w:after="0" w:line="259" w:lineRule="auto"/>
              <w:ind w:left="12" w:right="75" w:firstLine="0"/>
              <w:rPr>
                <w:color w:val="auto"/>
              </w:rPr>
            </w:pPr>
          </w:p>
        </w:tc>
      </w:tr>
      <w:tr w:rsidR="00F549DE" w:rsidRPr="004160A9" w14:paraId="7FE7D110" w14:textId="77777777" w:rsidTr="00A63131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CE9F3" w14:textId="328B7962" w:rsidR="00F549DE" w:rsidRPr="004160A9" w:rsidRDefault="00466377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>Auditor:   Angélica Cújar</w:t>
            </w:r>
            <w:r w:rsidR="00EF396B" w:rsidRPr="004160A9">
              <w:rPr>
                <w:color w:val="auto"/>
              </w:rPr>
              <w:t xml:space="preserve">       </w:t>
            </w:r>
            <w:r w:rsidR="00F549DE" w:rsidRPr="004160A9">
              <w:rPr>
                <w:color w:val="auto"/>
              </w:rPr>
              <w:t xml:space="preserve">                        </w:t>
            </w:r>
            <w:r w:rsidRPr="004160A9">
              <w:rPr>
                <w:color w:val="auto"/>
              </w:rPr>
              <w:t xml:space="preserve">           </w:t>
            </w:r>
            <w:r w:rsidR="00F549DE" w:rsidRPr="004160A9">
              <w:rPr>
                <w:color w:val="auto"/>
              </w:rPr>
              <w:t>Fecha:</w:t>
            </w:r>
            <w:r w:rsidRPr="004160A9">
              <w:rPr>
                <w:color w:val="auto"/>
              </w:rPr>
              <w:t xml:space="preserve"> 7 de Junio </w:t>
            </w:r>
            <w:r w:rsidR="001543DD" w:rsidRPr="004160A9">
              <w:rPr>
                <w:color w:val="auto"/>
              </w:rPr>
              <w:t>de 2020</w:t>
            </w:r>
          </w:p>
        </w:tc>
      </w:tr>
      <w:tr w:rsidR="00F549DE" w:rsidRPr="004160A9" w14:paraId="371CF49A" w14:textId="77777777" w:rsidTr="00A63131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C3F15" w14:textId="0DD9FFE4" w:rsidR="00F549DE" w:rsidRPr="004160A9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 xml:space="preserve">Auditado: </w:t>
            </w:r>
            <w:r w:rsidR="0031691F" w:rsidRPr="004160A9">
              <w:rPr>
                <w:color w:val="auto"/>
              </w:rPr>
              <w:t xml:space="preserve">LÍDER DE </w:t>
            </w:r>
            <w:r w:rsidR="00491749" w:rsidRPr="004160A9">
              <w:rPr>
                <w:color w:val="auto"/>
              </w:rPr>
              <w:t>LAB</w:t>
            </w:r>
            <w:r w:rsidR="0031691F" w:rsidRPr="004160A9">
              <w:rPr>
                <w:color w:val="auto"/>
              </w:rPr>
              <w:t>ORATORIO</w:t>
            </w:r>
          </w:p>
        </w:tc>
      </w:tr>
    </w:tbl>
    <w:p w14:paraId="16BDE26A" w14:textId="5B1D70C1" w:rsidR="004D2329" w:rsidRPr="004160A9" w:rsidRDefault="00A84D4C" w:rsidP="00F549DE">
      <w:pPr>
        <w:ind w:left="720" w:right="155" w:hanging="720"/>
      </w:pPr>
      <w:r w:rsidRPr="004160A9">
        <w:rPr>
          <w:b/>
        </w:rPr>
        <w:t xml:space="preserve"> </w:t>
      </w:r>
    </w:p>
    <w:p w14:paraId="0DA3B11C" w14:textId="77777777" w:rsidR="004D2329" w:rsidRPr="004160A9" w:rsidRDefault="00A84D4C">
      <w:pPr>
        <w:spacing w:after="0" w:line="259" w:lineRule="auto"/>
        <w:ind w:left="0" w:firstLine="0"/>
        <w:jc w:val="left"/>
      </w:pPr>
      <w:r w:rsidRPr="004160A9">
        <w:rPr>
          <w:b/>
        </w:rPr>
        <w:t xml:space="preserve"> </w:t>
      </w:r>
    </w:p>
    <w:p w14:paraId="5BCE4647" w14:textId="77777777" w:rsidR="004D2329" w:rsidRPr="004160A9" w:rsidRDefault="00A84D4C">
      <w:pPr>
        <w:pStyle w:val="Ttulo1"/>
        <w:ind w:left="10"/>
      </w:pPr>
      <w:r w:rsidRPr="004160A9">
        <w:t xml:space="preserve">Incidente 2. (5 puntos) </w:t>
      </w:r>
    </w:p>
    <w:p w14:paraId="136AFA19" w14:textId="7C2F9B21" w:rsidR="004D2329" w:rsidRPr="004160A9" w:rsidRDefault="00A84D4C">
      <w:pPr>
        <w:ind w:right="155"/>
      </w:pPr>
      <w:r w:rsidRPr="004160A9">
        <w:t xml:space="preserve">En el área de pesaje se vieron dos balanzas que deberían haber sido calibradas, de acuerdo al programa de calibración establecido por el laboratorio y a la fecha no se realizado la actividad, sin embargo los registros de verificación de dicho equipo o patrón </w:t>
      </w:r>
      <w:r w:rsidRPr="004160A9">
        <w:lastRenderedPageBreak/>
        <w:t xml:space="preserve">demuestran que se encuentra dentro de las especificaciones requeridas, el juego de masas patrón de referencia tiene certificado de calibración vigente. </w:t>
      </w:r>
    </w:p>
    <w:p w14:paraId="1015F3C7" w14:textId="443921AC" w:rsidR="00B75040" w:rsidRPr="004160A9" w:rsidRDefault="00B75040">
      <w:pPr>
        <w:spacing w:after="0" w:line="259" w:lineRule="auto"/>
        <w:ind w:left="0" w:firstLine="0"/>
        <w:jc w:val="left"/>
      </w:pPr>
    </w:p>
    <w:tbl>
      <w:tblPr>
        <w:tblStyle w:val="TableGrid"/>
        <w:tblW w:w="10155" w:type="dxa"/>
        <w:tblInd w:w="495" w:type="dxa"/>
        <w:tblCellMar>
          <w:top w:w="64" w:type="dxa"/>
          <w:left w:w="93" w:type="dxa"/>
          <w:right w:w="65" w:type="dxa"/>
        </w:tblCellMar>
        <w:tblLook w:val="04A0" w:firstRow="1" w:lastRow="0" w:firstColumn="1" w:lastColumn="0" w:noHBand="0" w:noVBand="1"/>
      </w:tblPr>
      <w:tblGrid>
        <w:gridCol w:w="10155"/>
      </w:tblGrid>
      <w:tr w:rsidR="00B75040" w:rsidRPr="004160A9" w14:paraId="411304F3" w14:textId="77777777" w:rsidTr="00A63131">
        <w:trPr>
          <w:trHeight w:val="735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CA41" w14:textId="4B536520" w:rsidR="00B75040" w:rsidRPr="004160A9" w:rsidRDefault="003474C5" w:rsidP="00A63131">
            <w:pPr>
              <w:spacing w:after="0" w:line="259" w:lineRule="auto"/>
              <w:ind w:left="0" w:right="226" w:firstLine="0"/>
              <w:jc w:val="right"/>
              <w:rPr>
                <w:color w:val="auto"/>
              </w:rPr>
            </w:pPr>
            <w:r w:rsidRPr="004160A9">
              <w:rPr>
                <w:color w:val="auto"/>
              </w:rPr>
              <w:t>Incidente Número:</w:t>
            </w:r>
            <w:r w:rsidR="00B75040" w:rsidRPr="004160A9">
              <w:rPr>
                <w:color w:val="auto"/>
              </w:rPr>
              <w:t xml:space="preserve">2 </w:t>
            </w:r>
          </w:p>
          <w:p w14:paraId="6581D69C" w14:textId="77777777" w:rsidR="00B75040" w:rsidRPr="004160A9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4160A9">
              <w:rPr>
                <w:b/>
                <w:color w:val="auto"/>
              </w:rPr>
              <w:t xml:space="preserve">REPORTE DE NO CONFORMIDAD </w:t>
            </w:r>
          </w:p>
        </w:tc>
      </w:tr>
      <w:tr w:rsidR="00B75040" w:rsidRPr="004160A9" w14:paraId="69980C94" w14:textId="77777777" w:rsidTr="00A63131">
        <w:trPr>
          <w:trHeight w:val="39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1B5CC" w14:textId="1242B3CB" w:rsidR="00B75040" w:rsidRPr="004160A9" w:rsidRDefault="00B75040" w:rsidP="003474C5">
            <w:pPr>
              <w:tabs>
                <w:tab w:val="center" w:pos="8077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>Compañía Au</w:t>
            </w:r>
            <w:r w:rsidR="003474C5" w:rsidRPr="004160A9">
              <w:rPr>
                <w:color w:val="auto"/>
              </w:rPr>
              <w:t xml:space="preserve">ditada:  </w:t>
            </w:r>
            <w:r w:rsidR="00C33EC0" w:rsidRPr="004160A9">
              <w:rPr>
                <w:color w:val="auto"/>
              </w:rPr>
              <w:t>FGH LTDA</w:t>
            </w:r>
            <w:r w:rsidR="003474C5" w:rsidRPr="004160A9">
              <w:rPr>
                <w:color w:val="auto"/>
              </w:rPr>
              <w:tab/>
            </w:r>
            <w:r w:rsidR="00C33EC0" w:rsidRPr="004160A9">
              <w:rPr>
                <w:color w:val="auto"/>
              </w:rPr>
              <w:t xml:space="preserve">             </w:t>
            </w:r>
            <w:r w:rsidR="003474C5" w:rsidRPr="004160A9">
              <w:rPr>
                <w:color w:val="auto"/>
              </w:rPr>
              <w:t>Reporte Número:</w:t>
            </w:r>
            <w:r w:rsidRPr="004160A9">
              <w:rPr>
                <w:color w:val="auto"/>
              </w:rPr>
              <w:t xml:space="preserve">​2  </w:t>
            </w:r>
          </w:p>
        </w:tc>
      </w:tr>
      <w:tr w:rsidR="00B75040" w:rsidRPr="004160A9" w14:paraId="28C59CC1" w14:textId="77777777" w:rsidTr="00A63131">
        <w:trPr>
          <w:trHeight w:val="735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76FD2" w14:textId="23F82F24" w:rsidR="00B75040" w:rsidRPr="004160A9" w:rsidRDefault="00B75040" w:rsidP="00A63131">
            <w:pPr>
              <w:tabs>
                <w:tab w:val="center" w:pos="6561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>Proceso Auditado: ​LAB</w:t>
            </w:r>
            <w:r w:rsidR="00C33EC0" w:rsidRPr="004160A9">
              <w:rPr>
                <w:color w:val="auto"/>
              </w:rPr>
              <w:t>ORATORIO</w:t>
            </w:r>
            <w:r w:rsidRPr="004160A9">
              <w:rPr>
                <w:color w:val="auto"/>
              </w:rPr>
              <w:tab/>
              <w:t xml:space="preserve">                       </w:t>
            </w:r>
            <w:r w:rsidR="003474C5" w:rsidRPr="004160A9">
              <w:rPr>
                <w:color w:val="auto"/>
              </w:rPr>
              <w:t xml:space="preserve">   </w:t>
            </w:r>
            <w:r w:rsidR="00C33EC0" w:rsidRPr="004160A9">
              <w:rPr>
                <w:color w:val="auto"/>
              </w:rPr>
              <w:t xml:space="preserve">     </w:t>
            </w:r>
            <w:r w:rsidR="003474C5" w:rsidRPr="004160A9">
              <w:rPr>
                <w:color w:val="auto"/>
              </w:rPr>
              <w:t>ISO/IEC 17025:2017 Numeral :</w:t>
            </w:r>
            <w:r w:rsidRPr="004160A9">
              <w:rPr>
                <w:color w:val="auto"/>
              </w:rPr>
              <w:t xml:space="preserve">​6.4.7 </w:t>
            </w:r>
          </w:p>
          <w:p w14:paraId="48F98DE6" w14:textId="77777777" w:rsidR="00B75040" w:rsidRPr="004160A9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 xml:space="preserve"> </w:t>
            </w:r>
          </w:p>
        </w:tc>
      </w:tr>
      <w:tr w:rsidR="00B75040" w:rsidRPr="004160A9" w14:paraId="531462A0" w14:textId="77777777" w:rsidTr="00721464">
        <w:trPr>
          <w:trHeight w:val="3592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B56AE" w14:textId="34865D2E" w:rsidR="00B75040" w:rsidRPr="004160A9" w:rsidRDefault="00B75040" w:rsidP="00A63131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4160A9">
              <w:rPr>
                <w:color w:val="auto"/>
                <w:sz w:val="25"/>
              </w:rPr>
              <w:t>De</w:t>
            </w:r>
            <w:r w:rsidR="00C33EC0" w:rsidRPr="004160A9">
              <w:rPr>
                <w:color w:val="auto"/>
                <w:sz w:val="25"/>
              </w:rPr>
              <w:t>scripción de la no conformidad:</w:t>
            </w:r>
          </w:p>
          <w:p w14:paraId="73D91E62" w14:textId="77777777" w:rsidR="00B75040" w:rsidRPr="004160A9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 xml:space="preserve"> </w:t>
            </w:r>
          </w:p>
          <w:p w14:paraId="2D662889" w14:textId="50EBDA25" w:rsidR="00B75040" w:rsidRPr="004160A9" w:rsidRDefault="00C33EC0" w:rsidP="00C33EC0">
            <w:pPr>
              <w:spacing w:after="0" w:line="259" w:lineRule="auto"/>
              <w:ind w:left="12" w:firstLine="0"/>
            </w:pPr>
            <w:r w:rsidRPr="004160A9">
              <w:t>El laboratorio no ha revisado ni ajustado el programa de calibración, para mantener la confianza en el estado de calibración</w:t>
            </w:r>
            <w:r w:rsidRPr="004160A9">
              <w:t xml:space="preserve"> de las balanzas. </w:t>
            </w:r>
          </w:p>
          <w:p w14:paraId="6CFA220B" w14:textId="77777777" w:rsidR="00C33EC0" w:rsidRPr="004160A9" w:rsidRDefault="00C33EC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</w:p>
          <w:p w14:paraId="432DCBB6" w14:textId="77777777" w:rsidR="00B75040" w:rsidRPr="004160A9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 xml:space="preserve">EVIDENCIA </w:t>
            </w:r>
          </w:p>
          <w:p w14:paraId="4EECEAF2" w14:textId="77777777" w:rsidR="00B75040" w:rsidRPr="004160A9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 xml:space="preserve"> </w:t>
            </w:r>
          </w:p>
          <w:p w14:paraId="3E9E1EE7" w14:textId="48B2722B" w:rsidR="00B75040" w:rsidRPr="004160A9" w:rsidRDefault="00C33EC0" w:rsidP="00721464">
            <w:pPr>
              <w:spacing w:after="0" w:line="259" w:lineRule="auto"/>
              <w:ind w:left="12" w:firstLine="0"/>
              <w:rPr>
                <w:color w:val="auto"/>
              </w:rPr>
            </w:pPr>
            <w:r w:rsidRPr="004160A9">
              <w:rPr>
                <w:color w:val="auto"/>
              </w:rPr>
              <w:t>En el Programa de Calibración PRO-CAL-01 establecido por el laboratorio</w:t>
            </w:r>
            <w:r w:rsidR="00721464" w:rsidRPr="004160A9">
              <w:rPr>
                <w:color w:val="auto"/>
              </w:rPr>
              <w:t xml:space="preserve"> se</w:t>
            </w:r>
            <w:r w:rsidRPr="004160A9">
              <w:rPr>
                <w:color w:val="auto"/>
              </w:rPr>
              <w:t xml:space="preserve"> menciona que a la fecha</w:t>
            </w:r>
            <w:r w:rsidR="00721464" w:rsidRPr="004160A9">
              <w:rPr>
                <w:color w:val="auto"/>
              </w:rPr>
              <w:t>,</w:t>
            </w:r>
            <w:r w:rsidRPr="004160A9">
              <w:rPr>
                <w:color w:val="auto"/>
              </w:rPr>
              <w:t xml:space="preserve"> las balanzas </w:t>
            </w:r>
            <w:r w:rsidRPr="004160A9">
              <w:t>deberían haber sido calibradas</w:t>
            </w:r>
            <w:r w:rsidR="00721464" w:rsidRPr="004160A9">
              <w:t>, pero no es así, dado que</w:t>
            </w:r>
            <w:r w:rsidRPr="004160A9">
              <w:rPr>
                <w:color w:val="auto"/>
              </w:rPr>
              <w:t xml:space="preserve"> </w:t>
            </w:r>
            <w:r w:rsidR="00721464" w:rsidRPr="004160A9">
              <w:rPr>
                <w:color w:val="auto"/>
              </w:rPr>
              <w:t>se revisaron los c</w:t>
            </w:r>
            <w:r w:rsidR="00B75040" w:rsidRPr="004160A9">
              <w:rPr>
                <w:color w:val="auto"/>
              </w:rPr>
              <w:t xml:space="preserve">ertificados de calibración de las balanzas </w:t>
            </w:r>
            <w:r w:rsidR="00721464" w:rsidRPr="004160A9">
              <w:rPr>
                <w:color w:val="auto"/>
              </w:rPr>
              <w:t xml:space="preserve">y se encontraron </w:t>
            </w:r>
            <w:r w:rsidR="00B75040" w:rsidRPr="004160A9">
              <w:rPr>
                <w:color w:val="auto"/>
              </w:rPr>
              <w:t>vencidos de a</w:t>
            </w:r>
            <w:r w:rsidR="00721464" w:rsidRPr="004160A9">
              <w:rPr>
                <w:color w:val="auto"/>
              </w:rPr>
              <w:t>cuerdo al mismo programa</w:t>
            </w:r>
            <w:r w:rsidR="00B75040" w:rsidRPr="004160A9">
              <w:rPr>
                <w:color w:val="auto"/>
              </w:rPr>
              <w:t>.</w:t>
            </w:r>
          </w:p>
        </w:tc>
      </w:tr>
      <w:tr w:rsidR="00B75040" w:rsidRPr="004160A9" w14:paraId="57A94716" w14:textId="77777777" w:rsidTr="00A63131">
        <w:trPr>
          <w:trHeight w:val="36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884BE" w14:textId="643CAAC2" w:rsidR="00B75040" w:rsidRPr="004160A9" w:rsidRDefault="003474C5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 xml:space="preserve">Auditor:   Angélica Cújar                                          </w:t>
            </w:r>
            <w:r w:rsidRPr="004160A9">
              <w:rPr>
                <w:color w:val="auto"/>
              </w:rPr>
              <w:t xml:space="preserve">               </w:t>
            </w:r>
            <w:r w:rsidRPr="004160A9">
              <w:rPr>
                <w:color w:val="auto"/>
              </w:rPr>
              <w:t>Fecha: 7 de Junio de 2020</w:t>
            </w:r>
          </w:p>
        </w:tc>
      </w:tr>
      <w:tr w:rsidR="00B75040" w:rsidRPr="004160A9" w14:paraId="1DC49711" w14:textId="77777777" w:rsidTr="00A63131">
        <w:trPr>
          <w:trHeight w:val="36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8FD92" w14:textId="7D799914" w:rsidR="00B75040" w:rsidRPr="004160A9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4160A9">
              <w:rPr>
                <w:color w:val="auto"/>
              </w:rPr>
              <w:t xml:space="preserve">Auditado: </w:t>
            </w:r>
            <w:r w:rsidR="00C33EC0" w:rsidRPr="004160A9">
              <w:rPr>
                <w:color w:val="auto"/>
              </w:rPr>
              <w:t xml:space="preserve">LIDER DE </w:t>
            </w:r>
            <w:r w:rsidR="001543DD" w:rsidRPr="004160A9">
              <w:rPr>
                <w:color w:val="auto"/>
              </w:rPr>
              <w:t>L</w:t>
            </w:r>
            <w:r w:rsidR="00491749" w:rsidRPr="004160A9">
              <w:rPr>
                <w:color w:val="auto"/>
              </w:rPr>
              <w:t>AB</w:t>
            </w:r>
            <w:r w:rsidR="00C33EC0" w:rsidRPr="004160A9">
              <w:rPr>
                <w:color w:val="auto"/>
              </w:rPr>
              <w:t>ORATORIO</w:t>
            </w:r>
          </w:p>
        </w:tc>
      </w:tr>
    </w:tbl>
    <w:p w14:paraId="5ECD8B1D" w14:textId="77777777" w:rsidR="00B75040" w:rsidRPr="004160A9" w:rsidRDefault="00B75040">
      <w:pPr>
        <w:spacing w:after="0" w:line="259" w:lineRule="auto"/>
        <w:ind w:left="0" w:firstLine="0"/>
        <w:jc w:val="left"/>
      </w:pPr>
    </w:p>
    <w:p w14:paraId="1FB1FDF8" w14:textId="77777777" w:rsidR="004D2329" w:rsidRPr="004160A9" w:rsidRDefault="00A84D4C">
      <w:pPr>
        <w:spacing w:after="0" w:line="259" w:lineRule="auto"/>
        <w:ind w:left="0" w:firstLine="0"/>
        <w:jc w:val="left"/>
      </w:pPr>
      <w:r w:rsidRPr="004160A9">
        <w:t xml:space="preserve"> </w:t>
      </w:r>
    </w:p>
    <w:p w14:paraId="0A68DCE7" w14:textId="77777777" w:rsidR="004D2329" w:rsidRPr="004160A9" w:rsidRDefault="00A84D4C">
      <w:pPr>
        <w:pStyle w:val="Ttulo1"/>
        <w:ind w:left="10"/>
      </w:pPr>
      <w:r w:rsidRPr="004160A9">
        <w:t xml:space="preserve">Incidente 3. (5 puntos) </w:t>
      </w:r>
    </w:p>
    <w:p w14:paraId="4BB159CA" w14:textId="77777777" w:rsidR="00623BAF" w:rsidRPr="004160A9" w:rsidRDefault="00623BAF" w:rsidP="00623BAF"/>
    <w:p w14:paraId="6B2A7D7C" w14:textId="77777777" w:rsidR="00F549DE" w:rsidRPr="004160A9" w:rsidRDefault="00A84D4C">
      <w:pPr>
        <w:ind w:left="720" w:right="155" w:hanging="720"/>
      </w:pPr>
      <w:r w:rsidRPr="004160A9">
        <w:t>Durante la auditoría, se identificó que aunque existe evidencia de que personal del laboratorio ha sido capacitado en el sistema de gestión del laboratorio y la norma ISO/IEC 17025 de 2017, mediante entrevista al personal se evidenció que alrededor del 10% del personal no ha comprendido los requisitos de sistema de gestión y de la norma aunque demuestra competencia en el desarrollo de sus funciones y las actividades de laboratorio asignadas.</w:t>
      </w:r>
    </w:p>
    <w:p w14:paraId="73EF3A2B" w14:textId="5A2C28EA" w:rsidR="004D2329" w:rsidRPr="004160A9" w:rsidRDefault="00A84D4C">
      <w:pPr>
        <w:ind w:left="720" w:right="155" w:hanging="720"/>
      </w:pPr>
      <w:r w:rsidRPr="004160A9">
        <w:t xml:space="preserve"> </w:t>
      </w:r>
    </w:p>
    <w:p w14:paraId="713E2BCB" w14:textId="6FFD980E" w:rsidR="00BF5D49" w:rsidRPr="004160A9" w:rsidRDefault="00BF5D49" w:rsidP="001543DD">
      <w:pPr>
        <w:ind w:left="720" w:right="155" w:firstLine="0"/>
      </w:pPr>
      <w:r w:rsidRPr="004160A9">
        <w:t>INCIDENTE NÚMERO: 3</w:t>
      </w:r>
    </w:p>
    <w:p w14:paraId="52F083D0" w14:textId="67EFDFA7" w:rsidR="00BF5D49" w:rsidRPr="004160A9" w:rsidRDefault="00BF5D49" w:rsidP="001543DD">
      <w:pPr>
        <w:ind w:left="720" w:right="155" w:firstLine="0"/>
      </w:pPr>
      <w:r w:rsidRPr="004160A9">
        <w:t>ISO/IEC 17025:2017 Numeral: 5.7 a)</w:t>
      </w:r>
    </w:p>
    <w:p w14:paraId="7864036C" w14:textId="77777777" w:rsidR="00BF5D49" w:rsidRPr="004160A9" w:rsidRDefault="00BF5D49" w:rsidP="001543DD">
      <w:pPr>
        <w:ind w:left="720" w:right="155" w:firstLine="0"/>
      </w:pPr>
    </w:p>
    <w:p w14:paraId="6DCE76B1" w14:textId="77777777" w:rsidR="00623BAF" w:rsidRPr="004160A9" w:rsidRDefault="00623BAF" w:rsidP="001543DD">
      <w:pPr>
        <w:ind w:left="720" w:right="155" w:firstLine="0"/>
      </w:pPr>
    </w:p>
    <w:p w14:paraId="354A3EDF" w14:textId="7830844A" w:rsidR="00907B7D" w:rsidRPr="004160A9" w:rsidRDefault="00907B7D" w:rsidP="001543DD">
      <w:pPr>
        <w:ind w:left="720" w:right="155" w:firstLine="0"/>
      </w:pPr>
      <w:r w:rsidRPr="004160A9">
        <w:lastRenderedPageBreak/>
        <w:t>Razones:</w:t>
      </w:r>
    </w:p>
    <w:p w14:paraId="692CBDEB" w14:textId="0011D95B" w:rsidR="00907B7D" w:rsidRPr="004160A9" w:rsidRDefault="00907B7D" w:rsidP="00907B7D">
      <w:pPr>
        <w:ind w:left="720" w:right="155" w:firstLine="0"/>
      </w:pPr>
      <w:r w:rsidRPr="004160A9">
        <w:t>Aunque mediante entrevista</w:t>
      </w:r>
      <w:r w:rsidRPr="004160A9">
        <w:t xml:space="preserve"> se evidenció que alrededor del 10% del personal no ha comprendido los requisitos de sistema de gestión</w:t>
      </w:r>
      <w:r w:rsidRPr="004160A9">
        <w:t>, n</w:t>
      </w:r>
      <w:r w:rsidRPr="004160A9">
        <w:t xml:space="preserve">o hay evidencia suficiente para determinar una posible No Conformidad al numeral 5.7 a) </w:t>
      </w:r>
      <w:r w:rsidRPr="004160A9">
        <w:t xml:space="preserve">relativo a </w:t>
      </w:r>
      <w:r w:rsidR="001E4B70" w:rsidRPr="004160A9">
        <w:t>que</w:t>
      </w:r>
      <w:r w:rsidRPr="004160A9">
        <w:t xml:space="preserve"> la dirección del laboratorio se ha asegurado que se efectúa la comunicación relativa a la eficacia del sistema de gestión.</w:t>
      </w:r>
    </w:p>
    <w:p w14:paraId="76C2AFD7" w14:textId="5E2C6BB4" w:rsidR="00907B7D" w:rsidRPr="004160A9" w:rsidRDefault="00907B7D" w:rsidP="001543DD">
      <w:pPr>
        <w:ind w:left="720" w:right="155" w:firstLine="0"/>
      </w:pPr>
    </w:p>
    <w:p w14:paraId="1A012684" w14:textId="3F0C6DC3" w:rsidR="00BF5D49" w:rsidRPr="004160A9" w:rsidRDefault="001E4B70" w:rsidP="001543DD">
      <w:pPr>
        <w:ind w:left="720" w:right="155" w:firstLine="0"/>
      </w:pPr>
      <w:r w:rsidRPr="004160A9">
        <w:t xml:space="preserve">Ante esta situación, </w:t>
      </w:r>
      <w:r w:rsidR="00BF5D49" w:rsidRPr="004160A9">
        <w:t>el auditor</w:t>
      </w:r>
      <w:r w:rsidRPr="004160A9">
        <w:t xml:space="preserve"> de tomar las siguientes acciones</w:t>
      </w:r>
      <w:r w:rsidR="00BF5D49" w:rsidRPr="004160A9">
        <w:t>:</w:t>
      </w:r>
    </w:p>
    <w:p w14:paraId="78500204" w14:textId="74BCEF1A" w:rsidR="00907B7D" w:rsidRPr="004160A9" w:rsidRDefault="001E4B70" w:rsidP="001E4B70">
      <w:pPr>
        <w:pStyle w:val="Prrafodelista"/>
        <w:numPr>
          <w:ilvl w:val="0"/>
          <w:numId w:val="7"/>
        </w:numPr>
        <w:ind w:right="155"/>
      </w:pPr>
      <w:r w:rsidRPr="004160A9">
        <w:t>Solicitar a la dirección del laboratorio evidencias de la comunicación del sistema de gestión.</w:t>
      </w:r>
    </w:p>
    <w:p w14:paraId="0C2036FF" w14:textId="5F75BF21" w:rsidR="001E4B70" w:rsidRPr="004160A9" w:rsidRDefault="001E4B70" w:rsidP="001E4B70">
      <w:pPr>
        <w:pStyle w:val="Prrafodelista"/>
        <w:numPr>
          <w:ilvl w:val="0"/>
          <w:numId w:val="7"/>
        </w:numPr>
        <w:ind w:right="155"/>
      </w:pPr>
      <w:r w:rsidRPr="004160A9">
        <w:t xml:space="preserve">Solicitar a la dirección del laboratorio las evidencias </w:t>
      </w:r>
      <w:r w:rsidRPr="004160A9">
        <w:t>de la evaluación</w:t>
      </w:r>
      <w:r w:rsidRPr="004160A9">
        <w:t xml:space="preserve"> de la</w:t>
      </w:r>
      <w:r w:rsidRPr="004160A9">
        <w:t xml:space="preserve"> </w:t>
      </w:r>
      <w:r w:rsidRPr="004160A9">
        <w:t>eficacia de la</w:t>
      </w:r>
      <w:r w:rsidRPr="004160A9">
        <w:t xml:space="preserve"> comunicación</w:t>
      </w:r>
      <w:r w:rsidRPr="004160A9">
        <w:t xml:space="preserve"> del sistema de gestión.</w:t>
      </w:r>
    </w:p>
    <w:p w14:paraId="3AABDCDB" w14:textId="77777777" w:rsidR="004D2329" w:rsidRPr="004160A9" w:rsidRDefault="00A84D4C">
      <w:pPr>
        <w:spacing w:after="0" w:line="259" w:lineRule="auto"/>
        <w:ind w:left="720" w:right="390" w:firstLine="0"/>
        <w:jc w:val="left"/>
      </w:pPr>
      <w:r w:rsidRPr="004160A9">
        <w:t xml:space="preserve"> </w:t>
      </w:r>
    </w:p>
    <w:p w14:paraId="6E44984B" w14:textId="317FA1BE" w:rsidR="004D2329" w:rsidRPr="004160A9" w:rsidRDefault="004D2329">
      <w:pPr>
        <w:spacing w:after="52" w:line="259" w:lineRule="auto"/>
        <w:ind w:left="929" w:firstLine="0"/>
        <w:jc w:val="left"/>
      </w:pPr>
    </w:p>
    <w:p w14:paraId="5893742C" w14:textId="3E343022" w:rsidR="004D2329" w:rsidRPr="004160A9" w:rsidRDefault="00A84D4C">
      <w:pPr>
        <w:spacing w:after="0" w:line="259" w:lineRule="auto"/>
        <w:ind w:left="0" w:firstLine="0"/>
        <w:jc w:val="left"/>
      </w:pPr>
      <w:r w:rsidRPr="004160A9">
        <w:t xml:space="preserve"> </w:t>
      </w:r>
    </w:p>
    <w:sectPr w:rsidR="004D2329" w:rsidRPr="004160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73" w:right="973" w:bottom="1560" w:left="698" w:header="510" w:footer="7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EC6AF" w14:textId="77777777" w:rsidR="006330D2" w:rsidRDefault="006330D2">
      <w:pPr>
        <w:spacing w:after="0" w:line="240" w:lineRule="auto"/>
      </w:pPr>
      <w:r>
        <w:separator/>
      </w:r>
    </w:p>
  </w:endnote>
  <w:endnote w:type="continuationSeparator" w:id="0">
    <w:p w14:paraId="45FA345B" w14:textId="77777777" w:rsidR="006330D2" w:rsidRDefault="0063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21943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898576" wp14:editId="7ED1FF77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90" name="Group 66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6" name="Shape 66936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590" style="width:483.75pt;height:0.75pt;position:absolute;mso-position-horizontal-relative:page;mso-position-horizontal:absolute;margin-left:71.25pt;mso-position-vertical-relative:page;margin-top:730.5pt;" coordsize="61436,95">
              <v:shape id="Shape 66937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FBFC627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>
        <w:rPr>
          <w:rFonts w:ascii="Century Gothic" w:eastAsia="Century Gothic" w:hAnsi="Century Gothic" w:cs="Century Gothic"/>
          <w:b/>
          <w:sz w:val="18"/>
        </w:rPr>
        <w:t>7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3B21A375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427B6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42853F" wp14:editId="67FE9607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58" name="Group 66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4" name="Shape 66934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558" style="width:483.75pt;height:0.75pt;position:absolute;mso-position-horizontal-relative:page;mso-position-horizontal:absolute;margin-left:71.25pt;mso-position-vertical-relative:page;margin-top:730.5pt;" coordsize="61436,95">
              <v:shape id="Shape 66935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2A45167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 w:rsidR="004160A9" w:rsidRPr="004160A9">
      <w:rPr>
        <w:rFonts w:ascii="Century Gothic" w:eastAsia="Century Gothic" w:hAnsi="Century Gothic" w:cs="Century Gothic"/>
        <w:b/>
        <w:noProof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 w:rsidR="004160A9" w:rsidRPr="004160A9">
        <w:rPr>
          <w:rFonts w:ascii="Century Gothic" w:eastAsia="Century Gothic" w:hAnsi="Century Gothic" w:cs="Century Gothic"/>
          <w:b/>
          <w:noProof/>
          <w:sz w:val="18"/>
        </w:rPr>
        <w:t>6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44D39F8E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1BFDA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F75C6D2" wp14:editId="4459578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26" name="Group 66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2" name="Shape 66932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526" style="width:483.75pt;height:0.75pt;position:absolute;mso-position-horizontal-relative:page;mso-position-horizontal:absolute;margin-left:71.25pt;mso-position-vertical-relative:page;margin-top:730.5pt;" coordsize="61436,95">
              <v:shape id="Shape 66933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109D768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>
        <w:rPr>
          <w:rFonts w:ascii="Century Gothic" w:eastAsia="Century Gothic" w:hAnsi="Century Gothic" w:cs="Century Gothic"/>
          <w:b/>
          <w:sz w:val="18"/>
        </w:rPr>
        <w:t>7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71994FA6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FA2F1" w14:textId="77777777" w:rsidR="006330D2" w:rsidRDefault="006330D2">
      <w:pPr>
        <w:spacing w:after="0" w:line="240" w:lineRule="auto"/>
      </w:pPr>
      <w:r>
        <w:separator/>
      </w:r>
    </w:p>
  </w:footnote>
  <w:footnote w:type="continuationSeparator" w:id="0">
    <w:p w14:paraId="61767FCD" w14:textId="77777777" w:rsidR="006330D2" w:rsidRDefault="00633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01EE8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5A92516" wp14:editId="1500792A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3F5DB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34EE43" wp14:editId="5FA56E68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40BD2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CCE8A13" wp14:editId="0A93B43A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233B"/>
    <w:multiLevelType w:val="hybridMultilevel"/>
    <w:tmpl w:val="91086784"/>
    <w:lvl w:ilvl="0" w:tplc="CE52B2F2">
      <w:start w:val="1"/>
      <w:numFmt w:val="lowerLetter"/>
      <w:lvlText w:val="%1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E8DAA">
      <w:start w:val="1"/>
      <w:numFmt w:val="lowerLetter"/>
      <w:lvlText w:val="%2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ED99A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0298A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0ADE6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40ABA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14C2A6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22C94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4A0D28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52C244F"/>
    <w:multiLevelType w:val="hybridMultilevel"/>
    <w:tmpl w:val="49AC97E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033329"/>
    <w:multiLevelType w:val="hybridMultilevel"/>
    <w:tmpl w:val="C3C6094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E44094"/>
    <w:multiLevelType w:val="hybridMultilevel"/>
    <w:tmpl w:val="76EA739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0531A6"/>
    <w:multiLevelType w:val="hybridMultilevel"/>
    <w:tmpl w:val="42C4A4AE"/>
    <w:lvl w:ilvl="0" w:tplc="E5D01E42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E6709"/>
    <w:multiLevelType w:val="hybridMultilevel"/>
    <w:tmpl w:val="87F676FE"/>
    <w:lvl w:ilvl="0" w:tplc="B34846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631A6E"/>
    <w:multiLevelType w:val="hybridMultilevel"/>
    <w:tmpl w:val="5434CAA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5ADA3930"/>
    <w:multiLevelType w:val="hybridMultilevel"/>
    <w:tmpl w:val="278EBB5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FC67E6"/>
    <w:multiLevelType w:val="hybridMultilevel"/>
    <w:tmpl w:val="BD169A3A"/>
    <w:lvl w:ilvl="0" w:tplc="F7D66E1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329"/>
    <w:rsid w:val="00105932"/>
    <w:rsid w:val="001543DD"/>
    <w:rsid w:val="001E4B70"/>
    <w:rsid w:val="002130B7"/>
    <w:rsid w:val="00242EBD"/>
    <w:rsid w:val="00282BA7"/>
    <w:rsid w:val="0031691F"/>
    <w:rsid w:val="003174CB"/>
    <w:rsid w:val="003474C5"/>
    <w:rsid w:val="00411645"/>
    <w:rsid w:val="004160A9"/>
    <w:rsid w:val="00466377"/>
    <w:rsid w:val="004737B8"/>
    <w:rsid w:val="0047556A"/>
    <w:rsid w:val="004838E2"/>
    <w:rsid w:val="00491749"/>
    <w:rsid w:val="004B3DCA"/>
    <w:rsid w:val="004D2329"/>
    <w:rsid w:val="004F0D03"/>
    <w:rsid w:val="00623BAF"/>
    <w:rsid w:val="006330D2"/>
    <w:rsid w:val="0064703A"/>
    <w:rsid w:val="006C4400"/>
    <w:rsid w:val="00704581"/>
    <w:rsid w:val="00721464"/>
    <w:rsid w:val="00741732"/>
    <w:rsid w:val="007A08E9"/>
    <w:rsid w:val="007B5A5A"/>
    <w:rsid w:val="00830518"/>
    <w:rsid w:val="008B5757"/>
    <w:rsid w:val="008F2D13"/>
    <w:rsid w:val="00907B7D"/>
    <w:rsid w:val="00930AF5"/>
    <w:rsid w:val="00991A3A"/>
    <w:rsid w:val="00A84D4C"/>
    <w:rsid w:val="00B72DA2"/>
    <w:rsid w:val="00B75040"/>
    <w:rsid w:val="00BC190A"/>
    <w:rsid w:val="00BF5D49"/>
    <w:rsid w:val="00C15197"/>
    <w:rsid w:val="00C33EC0"/>
    <w:rsid w:val="00C87C15"/>
    <w:rsid w:val="00CC0B41"/>
    <w:rsid w:val="00D156B3"/>
    <w:rsid w:val="00DD68B1"/>
    <w:rsid w:val="00ED74F9"/>
    <w:rsid w:val="00EF396B"/>
    <w:rsid w:val="00F16F6C"/>
    <w:rsid w:val="00F549DE"/>
    <w:rsid w:val="00F92CFB"/>
    <w:rsid w:val="00FA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49" w:lineRule="auto"/>
      <w:ind w:left="730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30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D74F9"/>
    <w:pPr>
      <w:ind w:left="720"/>
      <w:contextualSpacing/>
    </w:pPr>
  </w:style>
  <w:style w:type="paragraph" w:customStyle="1" w:styleId="Default">
    <w:name w:val="Default"/>
    <w:rsid w:val="00ED74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377"/>
    <w:pPr>
      <w:spacing w:after="0"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377"/>
    <w:rPr>
      <w:rFonts w:ascii="Tahoma" w:eastAsia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49" w:lineRule="auto"/>
      <w:ind w:left="730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30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D74F9"/>
    <w:pPr>
      <w:ind w:left="720"/>
      <w:contextualSpacing/>
    </w:pPr>
  </w:style>
  <w:style w:type="paragraph" w:customStyle="1" w:styleId="Default">
    <w:name w:val="Default"/>
    <w:rsid w:val="00ED74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377"/>
    <w:pPr>
      <w:spacing w:after="0"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377"/>
    <w:rPr>
      <w:rFonts w:ascii="Tahoma" w:eastAsia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1264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Cujar</dc:creator>
  <cp:keywords/>
  <cp:lastModifiedBy>USER</cp:lastModifiedBy>
  <cp:revision>12</cp:revision>
  <dcterms:created xsi:type="dcterms:W3CDTF">2020-06-07T10:56:00Z</dcterms:created>
  <dcterms:modified xsi:type="dcterms:W3CDTF">2020-06-08T04:13:00Z</dcterms:modified>
</cp:coreProperties>
</file>