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2C57C" w14:textId="77777777" w:rsidR="00FD578D" w:rsidRPr="00FD578D" w:rsidRDefault="00FD578D">
      <w:pPr>
        <w:rPr>
          <w:b/>
          <w:bCs/>
          <w:sz w:val="32"/>
          <w:szCs w:val="32"/>
        </w:rPr>
      </w:pPr>
      <w:r w:rsidRPr="00FD578D">
        <w:rPr>
          <w:b/>
          <w:bCs/>
          <w:sz w:val="32"/>
          <w:szCs w:val="32"/>
        </w:rPr>
        <w:t>Automorfismele proiective si numerele lui Cayley</w:t>
      </w:r>
    </w:p>
    <w:p w14:paraId="02B7F788" w14:textId="3F9FA39F" w:rsidR="00FD578D" w:rsidRDefault="00FD578D">
      <w:pPr>
        <w:rPr>
          <w:sz w:val="32"/>
          <w:szCs w:val="32"/>
        </w:rPr>
      </w:pPr>
      <w:r>
        <w:rPr>
          <w:sz w:val="32"/>
          <w:szCs w:val="32"/>
        </w:rPr>
        <w:t>Abordarea formală a numerelor lui Cayley este schematică după cum arată figura de mai jos. Cum abordarea formală permite operarea paternurilor cu care se lucra, se obține o alta formă a structurării numerelor, ce in finala ajunge la o forma de prisma hexagonală cu proprietăți date de sensurile vectorilor.</w:t>
      </w:r>
    </w:p>
    <w:p w14:paraId="2DF7F366" w14:textId="6A54E0ED" w:rsidR="00F770AB" w:rsidRDefault="006B4915">
      <w:r>
        <w:rPr>
          <w:noProof/>
        </w:rPr>
        <w:drawing>
          <wp:inline distT="0" distB="0" distL="0" distR="0" wp14:anchorId="119A20A0" wp14:editId="73DC070A">
            <wp:extent cx="6683918" cy="307154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990" cy="31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DFF4" w14:textId="2A4C7800" w:rsidR="00FD578D" w:rsidRDefault="002C686E">
      <w:pPr>
        <w:rPr>
          <w:sz w:val="32"/>
          <w:szCs w:val="32"/>
        </w:rPr>
      </w:pPr>
      <w:r w:rsidRPr="00FD578D">
        <w:rPr>
          <w:sz w:val="32"/>
          <w:szCs w:val="32"/>
        </w:rPr>
        <w:t>Aceeași</w:t>
      </w:r>
      <w:r w:rsidR="00FD578D" w:rsidRPr="00FD578D">
        <w:rPr>
          <w:sz w:val="32"/>
          <w:szCs w:val="32"/>
        </w:rPr>
        <w:t xml:space="preserve"> </w:t>
      </w:r>
      <w:r w:rsidRPr="00FD578D">
        <w:rPr>
          <w:sz w:val="32"/>
          <w:szCs w:val="32"/>
        </w:rPr>
        <w:t>situație</w:t>
      </w:r>
      <w:r w:rsidR="00FD578D">
        <w:rPr>
          <w:sz w:val="32"/>
          <w:szCs w:val="32"/>
        </w:rPr>
        <w:t xml:space="preserve"> o </w:t>
      </w:r>
      <w:r>
        <w:rPr>
          <w:sz w:val="32"/>
          <w:szCs w:val="32"/>
        </w:rPr>
        <w:t>întâlnim</w:t>
      </w:r>
      <w:r w:rsidR="00FD578D">
        <w:rPr>
          <w:sz w:val="32"/>
          <w:szCs w:val="32"/>
        </w:rPr>
        <w:t xml:space="preserve"> si la </w:t>
      </w:r>
      <w:r>
        <w:rPr>
          <w:sz w:val="32"/>
          <w:szCs w:val="32"/>
        </w:rPr>
        <w:t>operațiile</w:t>
      </w:r>
      <w:r w:rsidR="00FD578D">
        <w:rPr>
          <w:sz w:val="32"/>
          <w:szCs w:val="32"/>
        </w:rPr>
        <w:t xml:space="preserve"> cu </w:t>
      </w:r>
      <w:r>
        <w:rPr>
          <w:sz w:val="32"/>
          <w:szCs w:val="32"/>
        </w:rPr>
        <w:t>automorfismele</w:t>
      </w:r>
      <w:r w:rsidR="00FD578D">
        <w:rPr>
          <w:sz w:val="32"/>
          <w:szCs w:val="32"/>
        </w:rPr>
        <w:t xml:space="preserve"> proiective</w:t>
      </w:r>
      <w:r>
        <w:rPr>
          <w:sz w:val="32"/>
          <w:szCs w:val="32"/>
        </w:rPr>
        <w:t>. Operand si proiectând tabelul de compunere in altă formă obținem in abordarea informală o altă formă  ce reprezintă o lege matematică sau fizică.</w:t>
      </w:r>
    </w:p>
    <w:p w14:paraId="52A4731D" w14:textId="01D1CC49" w:rsidR="002C686E" w:rsidRDefault="002C686E">
      <w:pPr>
        <w:rPr>
          <w:sz w:val="32"/>
          <w:szCs w:val="32"/>
        </w:rPr>
      </w:pPr>
      <w:r>
        <w:rPr>
          <w:sz w:val="32"/>
          <w:szCs w:val="32"/>
        </w:rPr>
        <w:t>Recunoașterea paternurilor si interpretarea lor informală devin cele mai importante instrumente de lucru, ce deseori sunt confirmate de structurile din natura, pe care începem sa le înțelegem.</w:t>
      </w:r>
    </w:p>
    <w:p w14:paraId="6896B4E7" w14:textId="0D6520A7" w:rsidR="002C686E" w:rsidRPr="00FD578D" w:rsidRDefault="002C686E">
      <w:pPr>
        <w:rPr>
          <w:sz w:val="32"/>
          <w:szCs w:val="32"/>
        </w:rPr>
      </w:pPr>
      <w:r>
        <w:rPr>
          <w:sz w:val="32"/>
          <w:szCs w:val="32"/>
        </w:rPr>
        <w:t>Schemele de mai jos din teoria numerelor arată importanța recunoașterii paternurilor</w:t>
      </w:r>
      <w:r w:rsidR="00B97929">
        <w:rPr>
          <w:sz w:val="32"/>
          <w:szCs w:val="32"/>
        </w:rPr>
        <w:t>. Pe de altă parte traducerea informală semantică ne poate da înțelegerea funcționalităților ascunse in spatele paternurilor</w:t>
      </w:r>
      <w:r>
        <w:rPr>
          <w:sz w:val="32"/>
          <w:szCs w:val="32"/>
        </w:rPr>
        <w:t xml:space="preserve"> </w:t>
      </w:r>
    </w:p>
    <w:p w14:paraId="1C415658" w14:textId="715D452B" w:rsidR="004B38E7" w:rsidRDefault="004B38E7">
      <w:r>
        <w:rPr>
          <w:noProof/>
        </w:rPr>
        <w:lastRenderedPageBreak/>
        <w:drawing>
          <wp:inline distT="0" distB="0" distL="0" distR="0" wp14:anchorId="63916C95" wp14:editId="5CFF8098">
            <wp:extent cx="2360930" cy="2075815"/>
            <wp:effectExtent l="0" t="0" r="1270" b="635"/>
            <wp:docPr id="2" name="Picture 2" descr="Image result for cayley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cayley number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539B5" wp14:editId="6AB3C392">
            <wp:extent cx="2369820" cy="1922145"/>
            <wp:effectExtent l="0" t="0" r="0" b="1905"/>
            <wp:docPr id="3" name="Picture 3" descr="C:\Users\Stejar\AppData\Local\Microsoft\Windows\INetCache\Content.MSO\8C4AC9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ejar\AppData\Local\Microsoft\Windows\INetCache\Content.MSO\8C4AC96B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2AAAF" wp14:editId="1D3AAB9B">
            <wp:extent cx="2141220" cy="2141220"/>
            <wp:effectExtent l="0" t="0" r="0" b="0"/>
            <wp:docPr id="4" name="Picture 4" descr="C:\Users\Stejar\AppData\Local\Microsoft\Windows\INetCache\Content.MSO\3F3A2B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ejar\AppData\Local\Microsoft\Windows\INetCache\Content.MSO\3F3A2BFE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7CAE" w14:textId="17B4CAE1" w:rsidR="00B97929" w:rsidRDefault="00B97929">
      <w:pPr>
        <w:rPr>
          <w:sz w:val="36"/>
          <w:szCs w:val="36"/>
        </w:rPr>
      </w:pPr>
      <w:r w:rsidRPr="00B97929">
        <w:rPr>
          <w:sz w:val="36"/>
          <w:szCs w:val="36"/>
        </w:rPr>
        <w:t>Diferitele tipuri de grafuri direcționate</w:t>
      </w:r>
      <w:r>
        <w:rPr>
          <w:sz w:val="36"/>
          <w:szCs w:val="36"/>
        </w:rPr>
        <w:t xml:space="preserve">, pot acoperi domenii foarte diverse de studiu. Unul dintre aceste domenii este dat de diagramele multicursale ce sunt la baza generării feedback-urilor specifici fractalilor algebrici, teoria feedback-urilor fiind mult mai </w:t>
      </w:r>
      <w:r w:rsidR="001745B9">
        <w:rPr>
          <w:sz w:val="36"/>
          <w:szCs w:val="36"/>
        </w:rPr>
        <w:t>diversă</w:t>
      </w:r>
      <w:r>
        <w:rPr>
          <w:sz w:val="36"/>
          <w:szCs w:val="36"/>
        </w:rPr>
        <w:t xml:space="preserve">. Clasa acestor feedback-uri speciale este la baza </w:t>
      </w:r>
      <w:r w:rsidR="001745B9">
        <w:rPr>
          <w:sz w:val="36"/>
          <w:szCs w:val="36"/>
        </w:rPr>
        <w:t>înțelegerii</w:t>
      </w:r>
      <w:r>
        <w:rPr>
          <w:sz w:val="36"/>
          <w:szCs w:val="36"/>
        </w:rPr>
        <w:t xml:space="preserve"> unor anumite categorii de fenomene.</w:t>
      </w:r>
      <w:r w:rsidRPr="00B97929">
        <w:rPr>
          <w:sz w:val="36"/>
          <w:szCs w:val="36"/>
        </w:rPr>
        <w:t xml:space="preserve"> </w:t>
      </w:r>
    </w:p>
    <w:p w14:paraId="0DD7CDF7" w14:textId="430A02D1" w:rsidR="00597444" w:rsidRPr="00B97929" w:rsidRDefault="00597444">
      <w:pPr>
        <w:rPr>
          <w:sz w:val="36"/>
          <w:szCs w:val="36"/>
        </w:rPr>
      </w:pPr>
      <w:r>
        <w:rPr>
          <w:sz w:val="36"/>
          <w:szCs w:val="36"/>
        </w:rPr>
        <w:tab/>
        <w:t>Studiul spațiului coerent al informațiilor, pus pe diferite tipuri de exemple, ne arată că diagramele multicursale, f</w:t>
      </w:r>
      <w:bookmarkStart w:id="0" w:name="_GoBack"/>
      <w:bookmarkEnd w:id="0"/>
      <w:r>
        <w:rPr>
          <w:sz w:val="36"/>
          <w:szCs w:val="36"/>
        </w:rPr>
        <w:t xml:space="preserve">ractolonii sustenabili sau metabolici, feedback-urile de diferite nivele, nivelele de granulație și celelalte instrumente din teoria fractalilor algebrici se pot aplica in diferite contexte. </w:t>
      </w:r>
    </w:p>
    <w:sectPr w:rsidR="00597444" w:rsidRPr="00B97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15"/>
    <w:rsid w:val="001745B9"/>
    <w:rsid w:val="002C686E"/>
    <w:rsid w:val="00376010"/>
    <w:rsid w:val="004B38E7"/>
    <w:rsid w:val="00597444"/>
    <w:rsid w:val="006B4915"/>
    <w:rsid w:val="009002D7"/>
    <w:rsid w:val="00B97929"/>
    <w:rsid w:val="00F770AB"/>
    <w:rsid w:val="00FD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901D"/>
  <w15:chartTrackingRefBased/>
  <w15:docId w15:val="{03AD4561-35ED-4BAA-97B4-71F3A1EF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5</cp:revision>
  <dcterms:created xsi:type="dcterms:W3CDTF">2019-07-15T05:45:00Z</dcterms:created>
  <dcterms:modified xsi:type="dcterms:W3CDTF">2019-07-21T14:23:00Z</dcterms:modified>
</cp:coreProperties>
</file>