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i/>
          <w:iCs/>
          <w:sz w:val="28"/>
          <w:szCs w:val="28"/>
          <w:lang w:val="ru-RU"/>
        </w:rPr>
      </w:pPr>
      <w:r>
        <w:rPr>
          <w:rFonts w:ascii="Arial" w:hAnsi="Arial" w:cs="Arial"/>
          <w:i/>
          <w:iCs/>
          <w:sz w:val="28"/>
          <w:szCs w:val="28"/>
          <w:lang w:val="ru-RU"/>
        </w:rPr>
      </w:r>
      <w:r>
        <w:rPr>
          <w:rFonts w:ascii="Arial" w:hAnsi="Arial" w:cs="Arial"/>
          <w:i/>
          <w:iCs/>
          <w:sz w:val="28"/>
          <w:szCs w:val="28"/>
          <w:lang w:val="ru-RU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i/>
          <w:iCs/>
          <w:sz w:val="28"/>
          <w:szCs w:val="28"/>
          <w:lang w:val="ru-RU"/>
        </w:rPr>
      </w:pPr>
      <w:r/>
      <w:bookmarkStart w:id="0" w:name="_GoBack"/>
      <w:r/>
      <w:bookmarkEnd w:id="0"/>
      <w:r>
        <w:rPr>
          <w:rFonts w:ascii="Arial" w:hAnsi="Arial" w:cs="Arial"/>
          <w:i/>
          <w:iCs/>
          <w:sz w:val="28"/>
          <w:szCs w:val="28"/>
          <w:lang w:val="ru-RU"/>
        </w:rPr>
        <w:t xml:space="preserve">О</w:t>
      </w:r>
      <w:r>
        <w:rPr>
          <w:rFonts w:ascii="Arial" w:hAnsi="Arial" w:cs="Arial"/>
          <w:i/>
          <w:iCs/>
          <w:sz w:val="28"/>
          <w:szCs w:val="28"/>
        </w:rPr>
        <w:t xml:space="preserve"> перспективах и механизмах реализации PropTech-стратегии Alatau City Bank</w:t>
      </w:r>
      <w:r>
        <w:rPr>
          <w:rFonts w:ascii="Arial" w:hAnsi="Arial" w:cs="Arial"/>
          <w:i/>
          <w:iCs/>
          <w:sz w:val="28"/>
          <w:szCs w:val="28"/>
          <w:lang w:val="ru-RU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</w:r>
      <w:r>
        <w:rPr>
          <w:rFonts w:ascii="Arial" w:hAnsi="Arial" w:cs="Arial"/>
          <w:sz w:val="28"/>
          <w:szCs w:val="28"/>
          <w:lang w:val="ru-RU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На основе </w:t>
      </w:r>
      <w:r>
        <w:rPr>
          <w:rFonts w:ascii="Arial" w:hAnsi="Arial" w:cs="Arial"/>
          <w:b/>
          <w:bCs/>
          <w:sz w:val="28"/>
          <w:szCs w:val="28"/>
        </w:rPr>
        <w:t xml:space="preserve">междисциплинарного исследования, проведенного Sana Holding</w:t>
      </w:r>
      <w:r>
        <w:rPr>
          <w:rFonts w:ascii="Arial" w:hAnsi="Arial" w:cs="Arial"/>
          <w:sz w:val="28"/>
          <w:szCs w:val="28"/>
        </w:rPr>
        <w:t xml:space="preserve"> подтверждается высокая стратегическая значимость и экономическая целесообразность трансформации Alatau City Bank </w:t>
      </w:r>
      <w:r>
        <w:rPr>
          <w:rFonts w:ascii="Arial" w:hAnsi="Arial" w:cs="Arial"/>
          <w:i/>
          <w:sz w:val="28"/>
          <w:szCs w:val="28"/>
        </w:rPr>
        <w:t xml:space="preserve">(ACB)</w:t>
      </w:r>
      <w:r>
        <w:rPr>
          <w:rFonts w:ascii="Arial" w:hAnsi="Arial" w:cs="Arial"/>
          <w:sz w:val="28"/>
          <w:szCs w:val="28"/>
        </w:rPr>
        <w:t xml:space="preserve"> в технологического оператора полного цикла. Глобальный контекст указывает на то, что при совокупной стоимости мирового жилого фонда в </w:t>
      </w:r>
      <w:r>
        <w:rPr>
          <w:rFonts w:ascii="Arial" w:hAnsi="Arial" w:cs="Arial"/>
          <w:b/>
          <w:bCs/>
          <w:sz w:val="28"/>
          <w:szCs w:val="28"/>
        </w:rPr>
        <w:t xml:space="preserve">$393,3 трлн</w:t>
      </w:r>
      <w:r>
        <w:rPr>
          <w:rFonts w:ascii="Arial" w:hAnsi="Arial" w:cs="Arial"/>
          <w:sz w:val="28"/>
          <w:szCs w:val="28"/>
        </w:rPr>
        <w:t xml:space="preserve"> недвижимость остается наименее оцифрованной отраслью, где </w:t>
      </w:r>
      <w:r>
        <w:rPr>
          <w:rFonts w:ascii="Arial" w:hAnsi="Arial" w:cs="Arial"/>
          <w:b/>
          <w:bCs/>
          <w:sz w:val="28"/>
          <w:szCs w:val="28"/>
        </w:rPr>
        <w:t xml:space="preserve">менее 3% стоимости</w:t>
      </w:r>
      <w:r>
        <w:rPr>
          <w:rFonts w:ascii="Arial" w:hAnsi="Arial" w:cs="Arial"/>
          <w:sz w:val="28"/>
          <w:szCs w:val="28"/>
        </w:rPr>
        <w:t xml:space="preserve"> создается технологическими компаниями </w:t>
      </w:r>
      <w:r>
        <w:rPr>
          <w:rFonts w:ascii="Arial" w:hAnsi="Arial" w:cs="Arial"/>
          <w:i/>
          <w:sz w:val="28"/>
          <w:szCs w:val="28"/>
        </w:rPr>
        <w:t xml:space="preserve">(Savills World Research, 2023; McKinsey Global Institute)</w:t>
      </w:r>
      <w:r>
        <w:rPr>
          <w:rFonts w:ascii="Arial" w:hAnsi="Arial" w:cs="Arial"/>
          <w:sz w:val="28"/>
          <w:szCs w:val="28"/>
        </w:rPr>
        <w:t xml:space="preserve">. При этом рынок PropTech демонстрирует темпы роста выше, чем в сферах финтеха и e-commerce, с прогнозируемым объемом в </w:t>
      </w:r>
      <w:r>
        <w:rPr>
          <w:rFonts w:ascii="Arial" w:hAnsi="Arial" w:cs="Arial"/>
          <w:b/>
          <w:bCs/>
          <w:sz w:val="28"/>
          <w:szCs w:val="28"/>
        </w:rPr>
        <w:t xml:space="preserve">$185,31 млрд к 2034 году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i/>
          <w:sz w:val="28"/>
          <w:szCs w:val="28"/>
        </w:rPr>
        <w:t xml:space="preserve">(Precedence Research, 2026)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Казахстане годовой оборот сектора достигает </w:t>
      </w:r>
      <w:r>
        <w:rPr>
          <w:rFonts w:ascii="Arial" w:hAnsi="Arial" w:cs="Arial"/>
          <w:b/>
          <w:bCs/>
          <w:sz w:val="28"/>
          <w:szCs w:val="28"/>
        </w:rPr>
        <w:t xml:space="preserve">12 трлн тенге</w:t>
      </w:r>
      <w:r>
        <w:rPr>
          <w:rFonts w:ascii="Arial" w:hAnsi="Arial" w:cs="Arial"/>
          <w:sz w:val="28"/>
          <w:szCs w:val="28"/>
        </w:rPr>
        <w:t xml:space="preserve">, однако отрасль характеризуется институциональной незрелостью и </w:t>
      </w:r>
      <w:r>
        <w:rPr>
          <w:rFonts w:ascii="Arial" w:hAnsi="Arial" w:cs="Arial"/>
          <w:b/>
          <w:bCs/>
          <w:sz w:val="28"/>
          <w:szCs w:val="28"/>
        </w:rPr>
        <w:t xml:space="preserve">«серыми» схемами, охватывающими до 68% сделок</w:t>
      </w:r>
      <w:r>
        <w:rPr>
          <w:rFonts w:ascii="Arial" w:hAnsi="Arial" w:cs="Arial"/>
          <w:sz w:val="28"/>
          <w:szCs w:val="28"/>
        </w:rPr>
        <w:t xml:space="preserve"> долевого строительства </w:t>
      </w:r>
      <w:r>
        <w:rPr>
          <w:rFonts w:ascii="Arial" w:hAnsi="Arial" w:cs="Arial"/>
          <w:i/>
          <w:sz w:val="28"/>
          <w:szCs w:val="28"/>
        </w:rPr>
        <w:t xml:space="preserve">(</w:t>
      </w:r>
      <w:r>
        <w:rPr>
          <w:rFonts w:ascii="Arial" w:hAnsi="Arial" w:cs="Arial"/>
          <w:i/>
          <w:sz w:val="28"/>
          <w:szCs w:val="28"/>
          <w:lang w:val="ru-RU"/>
        </w:rPr>
        <w:t xml:space="preserve">«</w:t>
      </w:r>
      <w:r>
        <w:rPr>
          <w:rFonts w:ascii="Arial" w:hAnsi="Arial" w:cs="Arial"/>
          <w:i/>
          <w:sz w:val="28"/>
          <w:szCs w:val="28"/>
          <w:lang w:val="ru-RU"/>
        </w:rPr>
        <w:t xml:space="preserve">Казахстанская жилищная компания</w:t>
      </w:r>
      <w:r>
        <w:rPr>
          <w:rFonts w:ascii="Arial" w:hAnsi="Arial" w:cs="Arial"/>
          <w:i/>
          <w:sz w:val="28"/>
          <w:szCs w:val="28"/>
          <w:lang w:val="ru-RU"/>
        </w:rPr>
        <w:t xml:space="preserve">»</w:t>
      </w:r>
      <w:r>
        <w:rPr>
          <w:rFonts w:ascii="Arial" w:hAnsi="Arial" w:cs="Arial"/>
          <w:i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. Социальная актуальность направления подтверждается тем фактом, что </w:t>
      </w:r>
      <w:r>
        <w:rPr>
          <w:rFonts w:ascii="Arial" w:hAnsi="Arial" w:cs="Arial"/>
          <w:b/>
          <w:bCs/>
          <w:sz w:val="28"/>
          <w:szCs w:val="28"/>
        </w:rPr>
        <w:t xml:space="preserve">47% граждан и до 70% молодежи</w:t>
      </w:r>
      <w:r>
        <w:rPr>
          <w:rFonts w:ascii="Arial" w:hAnsi="Arial" w:cs="Arial"/>
          <w:sz w:val="28"/>
          <w:szCs w:val="28"/>
        </w:rPr>
        <w:t xml:space="preserve"> планируют покупку жилья в ближайшие пять лет, при этом уровень удовлетворенности жилищными условиями остается критически низким </w:t>
      </w:r>
      <w:r>
        <w:rPr>
          <w:rFonts w:ascii="Arial" w:hAnsi="Arial" w:cs="Arial"/>
          <w:i/>
          <w:sz w:val="28"/>
          <w:szCs w:val="28"/>
        </w:rPr>
        <w:t xml:space="preserve">(Социологический замер Sana Holding)</w:t>
      </w:r>
      <w:r>
        <w:rPr>
          <w:rFonts w:ascii="Arial" w:hAnsi="Arial" w:cs="Arial"/>
          <w:sz w:val="28"/>
          <w:szCs w:val="28"/>
        </w:rPr>
        <w:t xml:space="preserve">. Проект Alatau City, обладающий особым правовым статусом и моделью </w:t>
      </w:r>
      <w:r>
        <w:rPr>
          <w:rFonts w:ascii="Arial" w:hAnsi="Arial" w:cs="Arial"/>
          <w:b/>
          <w:bCs/>
          <w:sz w:val="28"/>
          <w:szCs w:val="28"/>
        </w:rPr>
        <w:t xml:space="preserve">Digital by default, закрепленной законодательно в марте 2026 года</w:t>
      </w:r>
      <w:r>
        <w:rPr>
          <w:rFonts w:ascii="Arial" w:hAnsi="Arial" w:cs="Arial"/>
          <w:sz w:val="28"/>
          <w:szCs w:val="28"/>
        </w:rPr>
        <w:t xml:space="preserve">, представляет собой уникальный полигон для внедрения смарт-контрактов и блокчейн-регистрации прав собственности.</w:t>
      </w:r>
      <w:r>
        <w:rPr>
          <w:rFonts w:ascii="Arial" w:hAnsi="Arial" w:cs="Arial"/>
          <w:sz w:val="28"/>
          <w:szCs w:val="28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Несмотря на наличие в периметре группы всех необходимых компонентов </w:t>
      </w:r>
      <w:r>
        <w:rPr>
          <w:rFonts w:ascii="Arial" w:hAnsi="Arial" w:cs="Arial"/>
          <w:sz w:val="28"/>
          <w:szCs w:val="28"/>
          <w:lang w:val="ru-RU"/>
        </w:rPr>
        <w:t xml:space="preserve">-</w:t>
      </w:r>
      <w:r>
        <w:rPr>
          <w:rFonts w:ascii="Arial" w:hAnsi="Arial" w:cs="Arial"/>
          <w:sz w:val="28"/>
          <w:szCs w:val="28"/>
        </w:rPr>
        <w:t xml:space="preserve"> финансового капитала ACB, трафика Krisha.kz и экспертизы Alseco </w:t>
      </w:r>
      <w:r>
        <w:rPr>
          <w:rFonts w:ascii="Arial" w:hAnsi="Arial" w:cs="Arial"/>
          <w:sz w:val="28"/>
          <w:szCs w:val="28"/>
          <w:lang w:val="ru-RU"/>
        </w:rPr>
        <w:t xml:space="preserve">-</w:t>
      </w:r>
      <w:r>
        <w:rPr>
          <w:rFonts w:ascii="Arial" w:hAnsi="Arial" w:cs="Arial"/>
          <w:sz w:val="28"/>
          <w:szCs w:val="28"/>
        </w:rPr>
        <w:t xml:space="preserve"> текущая инициатива по созданию единой платформы </w:t>
      </w:r>
      <w:r>
        <w:rPr>
          <w:rFonts w:ascii="Arial" w:hAnsi="Arial" w:cs="Arial"/>
          <w:b/>
          <w:bCs/>
          <w:sz w:val="28"/>
          <w:szCs w:val="28"/>
        </w:rPr>
        <w:t xml:space="preserve">не вышла за пределы презентационных материалов</w:t>
      </w:r>
      <w:r>
        <w:rPr>
          <w:rFonts w:ascii="Arial" w:hAnsi="Arial" w:cs="Arial"/>
          <w:sz w:val="28"/>
          <w:szCs w:val="28"/>
        </w:rPr>
        <w:t xml:space="preserve"> и остается в фазе концепции. Анализ выявил, что внутренние структуры банка на текущем этапе </w:t>
      </w:r>
      <w:r>
        <w:rPr>
          <w:rFonts w:ascii="Arial" w:hAnsi="Arial" w:cs="Arial"/>
          <w:b/>
          <w:bCs/>
          <w:sz w:val="28"/>
          <w:szCs w:val="28"/>
        </w:rPr>
        <w:t xml:space="preserve">не способны выступить драйверами трансформации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 причине того, что самому банку нужна трансформация</w:t>
      </w:r>
      <w:r>
        <w:rPr>
          <w:rFonts w:ascii="Arial" w:hAnsi="Arial" w:cs="Arial"/>
          <w:sz w:val="28"/>
          <w:szCs w:val="28"/>
        </w:rPr>
        <w:t xml:space="preserve">. Отсутствие синергии между разрозненными активами и пассивная позиция в отношении «серого» рынка блокируют переход к модели оператора полного жизненного цикла недвижимости.</w:t>
      </w:r>
      <w:r>
        <w:rPr>
          <w:rFonts w:ascii="Arial" w:hAnsi="Arial" w:cs="Arial"/>
          <w:sz w:val="28"/>
          <w:szCs w:val="28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</w:rPr>
        <w:t xml:space="preserve">Для преодоления инертности системы и перехода к практической реализации предлагается </w:t>
      </w:r>
      <w:r>
        <w:rPr>
          <w:rFonts w:ascii="Arial" w:hAnsi="Arial" w:cs="Arial"/>
          <w:b/>
          <w:bCs/>
          <w:sz w:val="28"/>
          <w:szCs w:val="28"/>
        </w:rPr>
        <w:t xml:space="preserve">вовлечение Sana Holding в процесс фасилитации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  <w:lang w:val="ru-RU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</w:rPr>
        <w:t xml:space="preserve">На первом этапе Sana Holding планирует осуществить сбор фактуры, проведение серии верификационных интервью с техническими руководителями и </w:t>
      </w:r>
      <w:r>
        <w:rPr>
          <w:rFonts w:ascii="Arial" w:hAnsi="Arial" w:cs="Arial"/>
          <w:b/>
          <w:bCs/>
          <w:sz w:val="28"/>
          <w:szCs w:val="28"/>
        </w:rPr>
        <w:t xml:space="preserve">аудит реальных технологических мощностей группы</w:t>
      </w:r>
      <w:r>
        <w:rPr>
          <w:rFonts w:ascii="Arial" w:hAnsi="Arial" w:cs="Arial"/>
          <w:sz w:val="28"/>
          <w:szCs w:val="28"/>
        </w:rPr>
        <w:t xml:space="preserve"> для отделения корпоративных мифов от фактических возможностей. В рамках этого процесса будет разработана подробная </w:t>
      </w:r>
      <w:r>
        <w:rPr>
          <w:rFonts w:ascii="Arial" w:hAnsi="Arial" w:cs="Arial"/>
          <w:b/>
          <w:bCs/>
          <w:sz w:val="28"/>
          <w:szCs w:val="28"/>
        </w:rPr>
        <w:t xml:space="preserve">схема трансформации, разделенная на две ключевые юрисдикции</w:t>
      </w:r>
      <w:r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  <w:lang w:val="ru-RU"/>
        </w:rPr>
      </w:r>
    </w:p>
    <w:p>
      <w:pPr>
        <w:pStyle w:val="696"/>
        <w:numPr>
          <w:ilvl w:val="0"/>
          <w:numId w:val="4"/>
        </w:numPr>
        <w:ind w:left="0"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</w:rPr>
        <w:t xml:space="preserve">создание технологического ядра в Alatau City </w:t>
      </w:r>
      <w:r>
        <w:rPr>
          <w:rFonts w:ascii="Arial" w:hAnsi="Arial" w:cs="Arial"/>
          <w:i/>
          <w:sz w:val="28"/>
          <w:szCs w:val="28"/>
        </w:rPr>
        <w:t xml:space="preserve">(цифровой кадастр, токенизация, эскроу для off-plan)</w:t>
      </w:r>
      <w:r>
        <w:rPr>
          <w:rFonts w:ascii="Arial" w:hAnsi="Arial" w:cs="Arial"/>
          <w:sz w:val="28"/>
          <w:szCs w:val="28"/>
          <w:lang w:val="ru-RU"/>
        </w:rPr>
        <w:t xml:space="preserve">;</w:t>
      </w:r>
      <w:r>
        <w:rPr>
          <w:rFonts w:ascii="Arial" w:hAnsi="Arial" w:cs="Arial"/>
          <w:sz w:val="28"/>
          <w:szCs w:val="28"/>
          <w:lang w:val="ru-RU"/>
        </w:rPr>
      </w:r>
    </w:p>
    <w:p>
      <w:pPr>
        <w:pStyle w:val="696"/>
        <w:numPr>
          <w:ilvl w:val="0"/>
          <w:numId w:val="4"/>
        </w:numPr>
        <w:ind w:left="0"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</w:rPr>
        <w:t xml:space="preserve">масштабирование полноцикловой платформы в РК </w:t>
      </w:r>
      <w:r>
        <w:rPr>
          <w:rFonts w:ascii="Arial" w:hAnsi="Arial" w:cs="Arial"/>
          <w:i/>
          <w:sz w:val="28"/>
          <w:szCs w:val="28"/>
        </w:rPr>
        <w:t xml:space="preserve">(трансформация Krisha.kz в Transaction-ready сервис)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  <w:lang w:val="ru-RU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Итогом второй фазы станет подготовка детализированной </w:t>
      </w:r>
      <w:r>
        <w:rPr>
          <w:rFonts w:ascii="Arial" w:hAnsi="Arial" w:cs="Arial"/>
          <w:b/>
          <w:bCs/>
          <w:sz w:val="28"/>
          <w:szCs w:val="28"/>
        </w:rPr>
        <w:t xml:space="preserve">Дорожной карты</w:t>
      </w:r>
      <w:r>
        <w:rPr>
          <w:rFonts w:ascii="Arial" w:hAnsi="Arial" w:cs="Arial"/>
          <w:sz w:val="28"/>
          <w:szCs w:val="28"/>
        </w:rPr>
        <w:t xml:space="preserve">, включающей описание продуктовой архитектуры, финансовый план и </w:t>
      </w:r>
      <w:r>
        <w:rPr>
          <w:rFonts w:ascii="Arial" w:hAnsi="Arial" w:cs="Arial"/>
          <w:b/>
          <w:bCs/>
          <w:sz w:val="28"/>
          <w:szCs w:val="28"/>
        </w:rPr>
        <w:t xml:space="preserve">измеримые KPI</w:t>
      </w:r>
      <w:r>
        <w:rPr>
          <w:rFonts w:ascii="Arial" w:hAnsi="Arial" w:cs="Arial"/>
          <w:sz w:val="28"/>
          <w:szCs w:val="28"/>
        </w:rPr>
        <w:t xml:space="preserve">, направленные на </w:t>
      </w:r>
      <w:r>
        <w:rPr>
          <w:rFonts w:ascii="Arial" w:hAnsi="Arial" w:cs="Arial"/>
          <w:b/>
          <w:bCs/>
          <w:sz w:val="28"/>
          <w:szCs w:val="28"/>
        </w:rPr>
        <w:t xml:space="preserve">захват до 8% адресуемого рынка к 2031 году</w:t>
      </w:r>
      <w:r>
        <w:rPr>
          <w:rFonts w:ascii="Arial" w:hAnsi="Arial" w:cs="Arial"/>
          <w:sz w:val="28"/>
          <w:szCs w:val="28"/>
        </w:rPr>
        <w:t xml:space="preserve">, что соответствует выручке в 210</w:t>
      </w:r>
      <w:r>
        <w:rPr>
          <w:rFonts w:ascii="Arial" w:hAnsi="Arial" w:cs="Arial"/>
          <w:sz w:val="28"/>
          <w:szCs w:val="28"/>
          <w:lang w:val="ru-RU"/>
        </w:rPr>
        <w:t xml:space="preserve">-</w:t>
      </w:r>
      <w:r>
        <w:rPr>
          <w:rFonts w:ascii="Arial" w:hAnsi="Arial" w:cs="Arial"/>
          <w:sz w:val="28"/>
          <w:szCs w:val="28"/>
        </w:rPr>
        <w:t xml:space="preserve">280 млрд тенге </w:t>
      </w:r>
      <w:r>
        <w:rPr>
          <w:rFonts w:ascii="Arial" w:hAnsi="Arial" w:cs="Arial"/>
          <w:i/>
          <w:sz w:val="28"/>
          <w:szCs w:val="28"/>
        </w:rPr>
        <w:t xml:space="preserve">(План реализации Sana Holding)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В подтверждение изложенного прилага</w:t>
      </w:r>
      <w:r>
        <w:rPr>
          <w:rFonts w:ascii="Arial" w:hAnsi="Arial" w:cs="Arial"/>
          <w:sz w:val="28"/>
          <w:szCs w:val="28"/>
          <w:lang w:val="ru-RU"/>
        </w:rPr>
        <w:t xml:space="preserve">ю</w:t>
      </w:r>
      <w:r>
        <w:rPr>
          <w:rFonts w:ascii="Arial" w:hAnsi="Arial" w:cs="Arial"/>
          <w:sz w:val="28"/>
          <w:szCs w:val="28"/>
          <w:lang w:val="ru-RU"/>
        </w:rPr>
        <w:t xml:space="preserve">тся презентационны</w:t>
      </w:r>
      <w:r>
        <w:rPr>
          <w:rFonts w:ascii="Arial" w:hAnsi="Arial" w:cs="Arial"/>
          <w:sz w:val="28"/>
          <w:szCs w:val="28"/>
          <w:lang w:val="ru-RU"/>
        </w:rPr>
        <w:t xml:space="preserve">й </w:t>
      </w:r>
      <w:r>
        <w:rPr>
          <w:rFonts w:ascii="Arial" w:hAnsi="Arial" w:cs="Arial"/>
          <w:sz w:val="28"/>
          <w:szCs w:val="28"/>
          <w:lang w:val="ru-RU"/>
        </w:rPr>
        <w:t xml:space="preserve">материал</w:t>
      </w:r>
      <w:r>
        <w:rPr>
          <w:rFonts w:ascii="Arial" w:hAnsi="Arial" w:cs="Arial"/>
          <w:sz w:val="28"/>
          <w:szCs w:val="28"/>
          <w:lang w:val="ru-RU"/>
        </w:rPr>
        <w:t xml:space="preserve"> и </w:t>
      </w:r>
      <w:r>
        <w:rPr>
          <w:rFonts w:ascii="Arial" w:hAnsi="Arial" w:cs="Arial"/>
          <w:sz w:val="28"/>
          <w:szCs w:val="28"/>
          <w:lang w:val="ru-RU"/>
        </w:rPr>
        <w:t xml:space="preserve">аналитическая справка.</w:t>
      </w:r>
      <w:r>
        <w:rPr>
          <w:rFonts w:ascii="Arial" w:hAnsi="Arial" w:cs="Arial"/>
          <w:sz w:val="28"/>
          <w:szCs w:val="28"/>
          <w:lang w:val="ru-RU"/>
        </w:rPr>
      </w:r>
    </w:p>
    <w:p>
      <w:pPr>
        <w:pStyle w:val="696"/>
        <w:ind w:firstLine="709"/>
        <w:jc w:val="right"/>
        <w:spacing w:before="0" w:beforeAutospacing="0" w:after="0" w:afterAutospacing="0" w:line="276" w:lineRule="auto"/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</w:r>
      <w:r>
        <w:rPr>
          <w:rFonts w:ascii="Arial" w:hAnsi="Arial" w:cs="Arial"/>
          <w:i/>
          <w:sz w:val="28"/>
          <w:szCs w:val="28"/>
        </w:rPr>
      </w:r>
    </w:p>
    <w:p>
      <w:pPr>
        <w:pStyle w:val="696"/>
        <w:ind w:firstLine="709"/>
        <w:jc w:val="right"/>
        <w:spacing w:before="0" w:beforeAutospacing="0" w:after="0" w:afterAutospacing="0" w:line="276" w:lineRule="auto"/>
        <w:rPr>
          <w:rFonts w:ascii="Arial" w:hAnsi="Arial" w:cs="Arial"/>
          <w:i/>
          <w:sz w:val="28"/>
          <w:szCs w:val="28"/>
          <w:lang w:val="ru-RU"/>
        </w:rPr>
      </w:pPr>
      <w:r>
        <w:rPr>
          <w:rFonts w:ascii="Arial" w:hAnsi="Arial" w:cs="Arial"/>
          <w:i/>
          <w:sz w:val="28"/>
          <w:szCs w:val="28"/>
        </w:rPr>
        <w:t xml:space="preserve">Вносится для</w:t>
      </w:r>
      <w:r>
        <w:rPr>
          <w:rFonts w:ascii="Arial" w:hAnsi="Arial" w:cs="Arial"/>
          <w:i/>
          <w:sz w:val="28"/>
          <w:szCs w:val="28"/>
          <w:lang w:val="ru-RU"/>
        </w:rPr>
        <w:t xml:space="preserve"> рассмотрения и</w:t>
      </w:r>
      <w:r>
        <w:rPr>
          <w:rFonts w:ascii="Arial" w:hAnsi="Arial" w:cs="Arial"/>
          <w:i/>
          <w:sz w:val="28"/>
          <w:szCs w:val="28"/>
        </w:rPr>
        <w:t xml:space="preserve"> принятия решений</w:t>
      </w:r>
      <w:r>
        <w:rPr>
          <w:rFonts w:ascii="Arial" w:hAnsi="Arial" w:cs="Arial"/>
          <w:i/>
          <w:sz w:val="28"/>
          <w:szCs w:val="28"/>
          <w:lang w:val="ru-RU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</w:r>
      <w:r>
        <w:rPr>
          <w:rFonts w:ascii="Arial" w:hAnsi="Arial" w:cs="Arial"/>
          <w:sz w:val="28"/>
          <w:szCs w:val="28"/>
          <w:lang w:val="ru-RU"/>
        </w:rPr>
      </w:r>
    </w:p>
    <w:p>
      <w:pPr>
        <w:pStyle w:val="696"/>
        <w:ind w:firstLine="709"/>
        <w:jc w:val="both"/>
        <w:spacing w:before="0" w:beforeAutospacing="0" w:after="0" w:afterAutospacing="0" w:line="276" w:lineRule="auto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</w:r>
      <w:r>
        <w:rPr>
          <w:rFonts w:ascii="Arial" w:hAnsi="Arial" w:cs="Arial"/>
          <w:sz w:val="28"/>
          <w:szCs w:val="28"/>
          <w:lang w:val="ru-RU"/>
        </w:rPr>
      </w:r>
    </w:p>
    <w:p>
      <w:pPr>
        <w:ind w:firstLine="709"/>
        <w:jc w:val="both"/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rPr>
        <w:rFonts w:ascii="Arial" w:hAnsi="Arial" w:cs="Arial"/>
        <w:sz w:val="18"/>
      </w:rPr>
    </w:pPr>
    <w:r>
      <w:rPr>
        <w:rFonts w:ascii="Arial" w:hAnsi="Arial" w:cs="Arial"/>
        <w:sz w:val="24"/>
        <w:szCs w:val="28"/>
      </w:rPr>
      <w:fldChar w:fldCharType="begin"/>
    </w:r>
    <w:r>
      <w:rPr>
        <w:rFonts w:ascii="Arial" w:hAnsi="Arial" w:cs="Arial"/>
        <w:sz w:val="24"/>
        <w:szCs w:val="28"/>
      </w:rPr>
      <w:instrText xml:space="preserve">PAGE</w:instrText>
    </w:r>
    <w:r>
      <w:rPr>
        <w:rFonts w:ascii="Arial" w:hAnsi="Arial" w:cs="Arial"/>
        <w:sz w:val="24"/>
        <w:szCs w:val="28"/>
      </w:rPr>
      <w:fldChar w:fldCharType="separate"/>
    </w:r>
    <w:r>
      <w:rPr>
        <w:rFonts w:ascii="Arial" w:hAnsi="Arial" w:cs="Arial"/>
        <w:sz w:val="24"/>
        <w:szCs w:val="28"/>
      </w:rPr>
      <w:t xml:space="preserve">1</w:t>
    </w:r>
    <w:r>
      <w:rPr>
        <w:rFonts w:ascii="Arial" w:hAnsi="Arial" w:cs="Arial"/>
        <w:sz w:val="24"/>
        <w:szCs w:val="28"/>
      </w:rPr>
      <w:fldChar w:fldCharType="end"/>
    </w:r>
    <w:r>
      <w:rPr>
        <w:rFonts w:ascii="Arial" w:hAnsi="Arial" w:cs="Arial"/>
        <w:sz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5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429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134" w:hanging="567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83"/>
    <w:link w:val="67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83"/>
    <w:link w:val="678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83"/>
    <w:link w:val="67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83"/>
    <w:link w:val="68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83"/>
    <w:link w:val="68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83"/>
    <w:link w:val="68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76"/>
    <w:next w:val="676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83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76"/>
    <w:next w:val="676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83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76"/>
    <w:next w:val="676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83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683"/>
    <w:link w:val="686"/>
    <w:uiPriority w:val="10"/>
    <w:rPr>
      <w:sz w:val="48"/>
      <w:szCs w:val="48"/>
    </w:rPr>
  </w:style>
  <w:style w:type="paragraph" w:styleId="37">
    <w:name w:val="Subtitle"/>
    <w:basedOn w:val="676"/>
    <w:next w:val="676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83"/>
    <w:link w:val="37"/>
    <w:uiPriority w:val="11"/>
    <w:rPr>
      <w:sz w:val="24"/>
      <w:szCs w:val="24"/>
    </w:rPr>
  </w:style>
  <w:style w:type="paragraph" w:styleId="39">
    <w:name w:val="Quote"/>
    <w:basedOn w:val="676"/>
    <w:next w:val="676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76"/>
    <w:next w:val="676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83"/>
    <w:link w:val="697"/>
    <w:uiPriority w:val="99"/>
  </w:style>
  <w:style w:type="character" w:styleId="46">
    <w:name w:val="Footer Char"/>
    <w:basedOn w:val="683"/>
    <w:link w:val="699"/>
    <w:uiPriority w:val="99"/>
  </w:style>
  <w:style w:type="paragraph" w:styleId="47">
    <w:name w:val="Caption"/>
    <w:basedOn w:val="676"/>
    <w:next w:val="676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83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8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8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7">
    <w:name w:val="Footnote Text Char"/>
    <w:link w:val="691"/>
    <w:uiPriority w:val="99"/>
    <w:rPr>
      <w:sz w:val="18"/>
    </w:rPr>
  </w:style>
  <w:style w:type="character" w:styleId="180">
    <w:name w:val="Endnote Text Char"/>
    <w:link w:val="694"/>
    <w:uiPriority w:val="99"/>
    <w:rPr>
      <w:sz w:val="20"/>
    </w:rPr>
  </w:style>
  <w:style w:type="paragraph" w:styleId="182">
    <w:name w:val="toc 1"/>
    <w:basedOn w:val="676"/>
    <w:next w:val="676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76"/>
    <w:next w:val="676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76"/>
    <w:next w:val="676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76"/>
    <w:next w:val="676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76"/>
    <w:next w:val="676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76"/>
    <w:next w:val="676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76"/>
    <w:next w:val="676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76"/>
    <w:next w:val="676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76"/>
    <w:next w:val="676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76"/>
    <w:next w:val="676"/>
    <w:uiPriority w:val="99"/>
    <w:unhideWhenUsed/>
    <w:pPr>
      <w:spacing w:after="0" w:afterAutospacing="0"/>
    </w:pPr>
  </w:style>
  <w:style w:type="paragraph" w:styleId="676" w:default="1">
    <w:name w:val="Normal"/>
    <w:qFormat/>
  </w:style>
  <w:style w:type="paragraph" w:styleId="677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678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679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680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681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82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683" w:default="1">
    <w:name w:val="Default Paragraph Font"/>
    <w:uiPriority w:val="1"/>
    <w:semiHidden/>
    <w:unhideWhenUsed/>
  </w:style>
  <w:style w:type="table" w:styleId="6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5" w:default="1">
    <w:name w:val="No List"/>
    <w:uiPriority w:val="99"/>
    <w:semiHidden/>
    <w:unhideWhenUsed/>
  </w:style>
  <w:style w:type="paragraph" w:styleId="686">
    <w:name w:val="Title"/>
    <w:uiPriority w:val="10"/>
    <w:qFormat/>
    <w:rPr>
      <w:sz w:val="56"/>
      <w:szCs w:val="56"/>
    </w:rPr>
  </w:style>
  <w:style w:type="paragraph" w:styleId="687" w:customStyle="1">
    <w:name w:val="Строгий1"/>
    <w:qFormat/>
    <w:rPr>
      <w:b/>
      <w:bCs/>
    </w:rPr>
  </w:style>
  <w:style w:type="paragraph" w:styleId="688">
    <w:name w:val="List Paragraph"/>
    <w:qFormat/>
  </w:style>
  <w:style w:type="character" w:styleId="689">
    <w:name w:val="Hyperlink"/>
    <w:uiPriority w:val="99"/>
    <w:unhideWhenUsed/>
    <w:rPr>
      <w:color w:val="0563c1"/>
      <w:u w:val="single"/>
    </w:rPr>
  </w:style>
  <w:style w:type="character" w:styleId="690">
    <w:name w:val="footnote reference"/>
    <w:uiPriority w:val="99"/>
    <w:semiHidden/>
    <w:unhideWhenUsed/>
    <w:rPr>
      <w:vertAlign w:val="superscript"/>
    </w:rPr>
  </w:style>
  <w:style w:type="paragraph" w:styleId="691">
    <w:name w:val="footnote text"/>
    <w:link w:val="692"/>
    <w:uiPriority w:val="99"/>
    <w:semiHidden/>
    <w:unhideWhenUsed/>
  </w:style>
  <w:style w:type="character" w:styleId="692" w:customStyle="1">
    <w:name w:val="Текст сноски Знак"/>
    <w:link w:val="691"/>
    <w:uiPriority w:val="99"/>
    <w:semiHidden/>
    <w:unhideWhenUsed/>
    <w:rPr>
      <w:sz w:val="20"/>
      <w:szCs w:val="20"/>
    </w:rPr>
  </w:style>
  <w:style w:type="character" w:styleId="693">
    <w:name w:val="endnote reference"/>
    <w:uiPriority w:val="99"/>
    <w:semiHidden/>
    <w:unhideWhenUsed/>
    <w:rPr>
      <w:vertAlign w:val="superscript"/>
    </w:rPr>
  </w:style>
  <w:style w:type="paragraph" w:styleId="694">
    <w:name w:val="endnote text"/>
    <w:link w:val="695"/>
    <w:uiPriority w:val="99"/>
    <w:semiHidden/>
    <w:unhideWhenUsed/>
  </w:style>
  <w:style w:type="character" w:styleId="695" w:customStyle="1">
    <w:name w:val="Текст концевой сноски Знак"/>
    <w:link w:val="694"/>
    <w:uiPriority w:val="99"/>
    <w:semiHidden/>
    <w:unhideWhenUsed/>
    <w:rPr>
      <w:sz w:val="20"/>
      <w:szCs w:val="20"/>
    </w:rPr>
  </w:style>
  <w:style w:type="paragraph" w:styleId="696">
    <w:name w:val="Normal (Web)"/>
    <w:basedOn w:val="676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  <w:style w:type="paragraph" w:styleId="697">
    <w:name w:val="Header"/>
    <w:basedOn w:val="676"/>
    <w:link w:val="69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98" w:customStyle="1">
    <w:name w:val="Верхний колонтитул Знак"/>
    <w:basedOn w:val="683"/>
    <w:link w:val="697"/>
    <w:uiPriority w:val="99"/>
  </w:style>
  <w:style w:type="paragraph" w:styleId="699">
    <w:name w:val="Footer"/>
    <w:basedOn w:val="676"/>
    <w:link w:val="70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00" w:customStyle="1">
    <w:name w:val="Нижний колонтитул Знак"/>
    <w:basedOn w:val="683"/>
    <w:link w:val="69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Saltanat Zholamanova</cp:lastModifiedBy>
  <cp:revision>3</cp:revision>
  <dcterms:created xsi:type="dcterms:W3CDTF">2026-04-06T12:24:00Z</dcterms:created>
  <dcterms:modified xsi:type="dcterms:W3CDTF">2026-05-21T09:39:29Z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2026-04-06T12:11:45Z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bb5bd523-e97a-4c5c-8224-c9b1fb3a9659</vt:lpwstr>
  </property>
  <property fmtid="{D5CDD505-2E9C-101B-9397-08002B2CF9AE}" pid="7" name="MSIP_Label_defa4170-0d19-0005-0004-bc88714345d2_ActionId">
    <vt:lpwstr>c9300c86-d2de-4e04-b2cc-ed4e3c848895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