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</w:r>
      <w:r>
        <w:rPr>
          <w:i/>
          <w:color w:val="000000" w:themeColor="text1"/>
          <w:sz w:val="24"/>
          <w:szCs w:val="24"/>
        </w:rPr>
      </w:r>
    </w:p>
    <w:p>
      <w:pPr>
        <w:ind w:firstLine="567"/>
        <w:jc w:val="right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О </w:t>
      </w:r>
      <w:r>
        <w:rPr>
          <w:i/>
          <w:color w:val="000000" w:themeColor="text1"/>
          <w:sz w:val="24"/>
          <w:szCs w:val="24"/>
        </w:rPr>
        <w:t xml:space="preserve">PropTech</w:t>
      </w:r>
      <w:r>
        <w:rPr>
          <w:i/>
          <w:color w:val="000000" w:themeColor="text1"/>
          <w:sz w:val="24"/>
          <w:szCs w:val="24"/>
        </w:rPr>
        <w:t xml:space="preserve">-трансформаци</w:t>
      </w:r>
      <w:r>
        <w:rPr>
          <w:i/>
          <w:color w:val="000000" w:themeColor="text1"/>
          <w:sz w:val="24"/>
          <w:szCs w:val="24"/>
        </w:rPr>
        <w:t xml:space="preserve">и</w:t>
      </w:r>
      <w:r>
        <w:rPr>
          <w:i/>
          <w:color w:val="000000" w:themeColor="text1"/>
          <w:sz w:val="24"/>
          <w:szCs w:val="24"/>
        </w:rPr>
        <w:t xml:space="preserve"> и </w:t>
      </w:r>
      <w:r>
        <w:rPr>
          <w:i/>
          <w:color w:val="000000" w:themeColor="text1"/>
          <w:sz w:val="24"/>
          <w:szCs w:val="24"/>
        </w:rPr>
        <w:t xml:space="preserve">Alatau</w:t>
      </w:r>
      <w:r>
        <w:rPr>
          <w:i/>
          <w:color w:val="000000" w:themeColor="text1"/>
          <w:sz w:val="24"/>
          <w:szCs w:val="24"/>
        </w:rPr>
        <w:t xml:space="preserve"> </w:t>
      </w:r>
      <w:r>
        <w:rPr>
          <w:i/>
          <w:color w:val="000000" w:themeColor="text1"/>
          <w:sz w:val="24"/>
          <w:szCs w:val="24"/>
        </w:rPr>
        <w:t xml:space="preserve">City</w:t>
      </w:r>
      <w:r>
        <w:rPr>
          <w:i/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Для определения реального потенциала </w:t>
      </w:r>
      <w:r>
        <w:rPr>
          <w:color w:val="000000" w:themeColor="text1"/>
          <w:sz w:val="24"/>
          <w:szCs w:val="24"/>
        </w:rPr>
        <w:t xml:space="preserve">Proptech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Sana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Holding</w:t>
      </w:r>
      <w:r>
        <w:rPr>
          <w:color w:val="000000" w:themeColor="text1"/>
          <w:sz w:val="24"/>
          <w:szCs w:val="24"/>
        </w:rPr>
        <w:t xml:space="preserve"> провел междисциплинарное исследование, включающее анализ международного опыта (США, Сингапур, Россия), анализ по макроэкономическим параметрам этой отрасли в Казахстане, </w:t>
      </w:r>
      <w:r>
        <w:rPr>
          <w:color w:val="000000" w:themeColor="text1"/>
          <w:sz w:val="24"/>
          <w:szCs w:val="24"/>
        </w:rPr>
        <w:t xml:space="preserve">in-house</w:t>
      </w:r>
      <w:r>
        <w:rPr>
          <w:color w:val="000000" w:themeColor="text1"/>
          <w:sz w:val="24"/>
          <w:szCs w:val="24"/>
        </w:rPr>
        <w:t xml:space="preserve"> социологические замеры для определения реального потребительского спроса, а также осуществил аудит технологических и организационных барьеров.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Мировой контекст</w:t>
      </w:r>
      <w:r>
        <w:rPr>
          <w:i/>
          <w:color w:val="000000" w:themeColor="text1"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Недвижимость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финансовый фундамент глобальной экономики. Совокупная стоимость мирового жилого и коммерческого фонда составляет порядка $393,3 трлн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больше, чем капитализация всех мировых фондовых рынков и рынков облигаций вместе взятых (</w:t>
      </w:r>
      <w:r>
        <w:rPr>
          <w:sz w:val="24"/>
          <w:szCs w:val="24"/>
        </w:rPr>
        <w:t xml:space="preserve">Savills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World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Research</w:t>
      </w:r>
      <w:r>
        <w:rPr>
          <w:sz w:val="24"/>
          <w:szCs w:val="24"/>
        </w:rPr>
        <w:t xml:space="preserve">, 2023). При этом, в отличие от фондового рынка, недвижимость исторически остается наименее оцифрованной отраслью: по оценкам </w:t>
      </w:r>
      <w:r>
        <w:rPr>
          <w:sz w:val="24"/>
          <w:szCs w:val="24"/>
        </w:rPr>
        <w:t xml:space="preserve">McKinsey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Global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Institute</w:t>
      </w:r>
      <w:r>
        <w:rPr>
          <w:sz w:val="24"/>
          <w:szCs w:val="24"/>
        </w:rPr>
        <w:t xml:space="preserve">, менее 3% всей стоимости цепочки сделок создается технологическими компаниями</w:t>
      </w:r>
      <w:r>
        <w:rPr>
          <w:sz w:val="24"/>
          <w:szCs w:val="24"/>
        </w:rPr>
        <w:t xml:space="preserve">, соответственно 97% экономики этой отрасли ведутся методами </w:t>
      </w:r>
      <w:r>
        <w:rPr>
          <w:sz w:val="24"/>
          <w:szCs w:val="24"/>
          <w:lang w:val="en-US"/>
        </w:rPr>
        <w:t xml:space="preserve">XX</w:t>
      </w:r>
      <w:r>
        <w:rPr>
          <w:sz w:val="24"/>
          <w:szCs w:val="24"/>
        </w:rPr>
        <w:t xml:space="preserve"> века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В свою очередь, м</w:t>
      </w:r>
      <w:r>
        <w:rPr>
          <w:color w:val="000000" w:themeColor="text1"/>
          <w:sz w:val="24"/>
          <w:szCs w:val="24"/>
        </w:rPr>
        <w:t xml:space="preserve">ировой рынок </w:t>
      </w:r>
      <w:r>
        <w:rPr>
          <w:color w:val="000000" w:themeColor="text1"/>
          <w:sz w:val="24"/>
          <w:szCs w:val="24"/>
        </w:rPr>
        <w:t xml:space="preserve">PropTech</w:t>
      </w:r>
      <w:r>
        <w:rPr>
          <w:color w:val="000000" w:themeColor="text1"/>
          <w:sz w:val="24"/>
          <w:szCs w:val="24"/>
        </w:rPr>
        <w:t xml:space="preserve"> демонстрирует одну из самых высоких скоростей роста среди технологических секторов: в 2025 году его объем оценивается в $47,08 млрд, и по базовому прогнозу к 2034 году он достигнет $185,31 млрд при среднегодовом темпе роста (CAGR) 16,4% (</w:t>
      </w:r>
      <w:r>
        <w:rPr>
          <w:color w:val="000000" w:themeColor="text1"/>
          <w:sz w:val="24"/>
          <w:szCs w:val="24"/>
        </w:rPr>
        <w:t xml:space="preserve">Precedence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Research</w:t>
      </w:r>
      <w:r>
        <w:rPr>
          <w:color w:val="000000" w:themeColor="text1"/>
          <w:sz w:val="24"/>
          <w:szCs w:val="24"/>
        </w:rPr>
        <w:t xml:space="preserve">, 2026). Для сравнения: рынок финтех растет со скоростью около 15% в год, e-</w:t>
      </w:r>
      <w:r>
        <w:rPr>
          <w:color w:val="000000" w:themeColor="text1"/>
          <w:sz w:val="24"/>
          <w:szCs w:val="24"/>
        </w:rPr>
        <w:t xml:space="preserve">commerce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-</w:t>
      </w:r>
      <w:r>
        <w:rPr>
          <w:color w:val="000000" w:themeColor="text1"/>
          <w:sz w:val="24"/>
          <w:szCs w:val="24"/>
        </w:rPr>
        <w:t xml:space="preserve"> около 8%. 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right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Таблица 1. Ключевые показатели глобального рынка недвижимости</w:t>
      </w:r>
      <w:r>
        <w:rPr>
          <w:i/>
          <w:color w:val="000000" w:themeColor="text1"/>
          <w:sz w:val="24"/>
          <w:szCs w:val="24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>
        <w:tblPrEx/>
        <w:trPr/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Показатель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Значение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Источник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Мировой рынок недвижимости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~$393,3 трлн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Savills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World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Research</w:t>
            </w:r>
            <w:r>
              <w:rPr>
                <w:color w:val="000000" w:themeColor="text1"/>
                <w:sz w:val="24"/>
                <w:szCs w:val="24"/>
              </w:rPr>
              <w:t xml:space="preserve">, 2023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Доля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 в оцифровке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&lt;3%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McKinsey, 2021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Рынок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 (2025)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$47,08 млрд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Precedence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Research</w:t>
            </w:r>
            <w:r>
              <w:rPr>
                <w:color w:val="000000" w:themeColor="text1"/>
                <w:sz w:val="24"/>
                <w:szCs w:val="24"/>
              </w:rPr>
              <w:t xml:space="preserve">, 2026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Рынок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 (2034, прогноз)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$185,31 млрд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CAGR 16,4% в год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Рынок </w:t>
            </w:r>
            <w:r>
              <w:rPr>
                <w:color w:val="000000" w:themeColor="text1"/>
                <w:sz w:val="24"/>
                <w:szCs w:val="24"/>
              </w:rPr>
              <w:t xml:space="preserve">ConTech</w:t>
            </w:r>
            <w:r>
              <w:rPr>
                <w:color w:val="000000" w:themeColor="text1"/>
                <w:sz w:val="24"/>
                <w:szCs w:val="24"/>
              </w:rPr>
              <w:t xml:space="preserve"> (к 2030)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$2,3 трлн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McKinsey / Bain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Пик инвестиций в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&gt;$50 млрд (2021)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McKinsey &amp; Company, </w:t>
            </w:r>
            <w:r>
              <w:rPr>
                <w:color w:val="000000" w:themeColor="text1"/>
                <w:sz w:val="24"/>
                <w:szCs w:val="24"/>
              </w:rPr>
              <w:t xml:space="preserve">анализ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данных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 Pitchbook, 2023</w:t>
            </w:r>
            <w:r>
              <w:rPr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Восстановление инвестиций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+32,5% (2024)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CRETI, 2024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Модульное строительство (2022→2040)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$180 млрд → $540 млрд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CAGR 6%, McKinsey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Глобальный рынок строительства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$13 трлн → $22 трлн к 2040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McKinsey, CAGR 3,14%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8" w:type="dxa"/>
            <w:textDirection w:val="lrTb"/>
            <w:noWrap w:val="false"/>
          </w:tcPr>
          <w:p>
            <w:pPr>
              <w:jc w:val="both"/>
              <w:rPr>
                <w:color w:val="ffff00"/>
                <w:sz w:val="24"/>
                <w:szCs w:val="24"/>
                <w:highlight w:val="red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Число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PropTech-стартапов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 в мире</w:t>
            </w:r>
            <w:r>
              <w:rPr>
                <w:color w:val="ffff00"/>
                <w:sz w:val="24"/>
                <w:szCs w:val="24"/>
                <w:highlight w:val="red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ffff0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&gt;10 000</w:t>
            </w:r>
            <w:r>
              <w:rPr>
                <w:color w:val="ffff00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009" w:type="dxa"/>
            <w:textDirection w:val="lrTb"/>
            <w:noWrap w:val="false"/>
          </w:tcPr>
          <w:p>
            <w:pPr>
              <w:jc w:val="both"/>
              <w:rPr>
                <w:color w:val="ffff0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Expert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Market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Research</w:t>
            </w:r>
            <w:r>
              <w:rPr>
                <w:color w:val="000000" w:themeColor="text1"/>
                <w:sz w:val="24"/>
                <w:szCs w:val="24"/>
              </w:rPr>
              <w:t xml:space="preserve">, 2024</w:t>
            </w:r>
            <w:r>
              <w:rPr>
                <w:color w:val="ffff00"/>
                <w:sz w:val="24"/>
                <w:szCs w:val="24"/>
              </w:rPr>
            </w:r>
          </w:p>
        </w:tc>
      </w:tr>
    </w:tbl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jc w:val="both"/>
        <w:rPr>
          <w:b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Глобальный рынок недвижимости сегодня находится в состоянии тектонического сдвига: более </w:t>
      </w:r>
      <w:r>
        <w:rPr>
          <w:b/>
          <w:bCs/>
          <w:sz w:val="24"/>
          <w:szCs w:val="24"/>
        </w:rPr>
        <w:t xml:space="preserve">10 000 стартапов</w:t>
      </w:r>
      <w:r>
        <w:rPr>
          <w:sz w:val="24"/>
          <w:szCs w:val="24"/>
        </w:rPr>
        <w:t xml:space="preserve"> по всему миру и крупнейшие финансовые институты одновременно штурмуют сферу </w:t>
      </w:r>
      <w:r>
        <w:rPr>
          <w:sz w:val="24"/>
          <w:szCs w:val="24"/>
        </w:rPr>
        <w:t xml:space="preserve">PropTech</w:t>
      </w:r>
      <w:r>
        <w:rPr>
          <w:sz w:val="24"/>
          <w:szCs w:val="24"/>
        </w:rPr>
        <w:t xml:space="preserve">, пытаясь оцифровать отрасль, формирующую </w:t>
      </w:r>
      <w:r>
        <w:rPr>
          <w:b/>
          <w:bCs/>
          <w:sz w:val="24"/>
          <w:szCs w:val="24"/>
        </w:rPr>
        <w:t xml:space="preserve">13% мирового ВВП</w:t>
      </w:r>
      <w:r>
        <w:rPr>
          <w:sz w:val="24"/>
          <w:szCs w:val="24"/>
        </w:rPr>
        <w:t xml:space="preserve">. Наблюдается исторический разворот, где банки перестают быть просто поставщ</w:t>
      </w:r>
      <w:r>
        <w:rPr>
          <w:sz w:val="24"/>
          <w:szCs w:val="24"/>
        </w:rPr>
        <w:t xml:space="preserve">иками ликвидности и начинают трансформироваться в операторов жизненного цикла жилья. Однако, несмотря на колоссальные объемы инвестиций и амбиции игроков, мир все еще не достиг унифицированного решения, которое стало бы настоящим «Амазоном в недвижимости».</w:t>
      </w:r>
      <w:r>
        <w:rPr>
          <w:b/>
          <w:color w:val="000000" w:themeColor="text1"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Однако,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 xml:space="preserve">даже на текущем этапе фрагментированности рынка можно выделить ряд знаковых решений, которые интуитивно нащупали верные векторы развития и стали эталонами для индустрии:</w:t>
      </w:r>
      <w:r>
        <w:rPr>
          <w:sz w:val="24"/>
          <w:szCs w:val="24"/>
        </w:rPr>
      </w:r>
    </w:p>
    <w:p>
      <w:pPr>
        <w:ind w:firstLine="567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</w:r>
      <w:r>
        <w:rPr>
          <w:b/>
          <w:color w:val="000000" w:themeColor="text1"/>
          <w:sz w:val="24"/>
          <w:szCs w:val="24"/>
        </w:rPr>
      </w:r>
    </w:p>
    <w:p>
      <w:pPr>
        <w:ind w:firstLine="567"/>
        <w:jc w:val="right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Таблица 2. Ключевые выводы лучших практик</w:t>
      </w:r>
      <w:r>
        <w:rPr>
          <w:i/>
          <w:color w:val="000000" w:themeColor="text1"/>
          <w:sz w:val="24"/>
          <w:szCs w:val="24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>
        <w:tblPrEx/>
        <w:trPr/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Компания / Страна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Ключевой урок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DBS Bank (Сингапур)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B2C + B2B экосистема: маркетплейс для покупателей + ESG-кредиты и </w:t>
            </w:r>
            <w:r>
              <w:rPr>
                <w:color w:val="000000" w:themeColor="text1"/>
                <w:sz w:val="24"/>
                <w:szCs w:val="24"/>
              </w:rPr>
              <w:t xml:space="preserve">GenAI-скоринг</w:t>
            </w:r>
            <w:r>
              <w:rPr>
                <w:color w:val="000000" w:themeColor="text1"/>
                <w:sz w:val="24"/>
                <w:szCs w:val="24"/>
              </w:rPr>
              <w:t xml:space="preserve"> для застройщиков. Лучший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-банк АТР 2025. Двусторонняя платформа создает </w:t>
            </w:r>
            <w:r>
              <w:rPr>
                <w:color w:val="000000" w:themeColor="text1"/>
                <w:sz w:val="24"/>
                <w:szCs w:val="24"/>
              </w:rPr>
              <w:t xml:space="preserve">самоускоряющийся</w:t>
            </w:r>
            <w:r>
              <w:rPr>
                <w:color w:val="000000" w:themeColor="text1"/>
                <w:sz w:val="24"/>
                <w:szCs w:val="24"/>
              </w:rPr>
              <w:t xml:space="preserve"> сетевой эффект.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Domclick</w:t>
            </w:r>
            <w:r>
              <w:rPr>
                <w:color w:val="000000" w:themeColor="text1"/>
                <w:sz w:val="24"/>
                <w:szCs w:val="24"/>
              </w:rPr>
              <w:t xml:space="preserve"> / Сбербанк (Россия)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Банк как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-оператор: единое окно от поиска до регистрации. 8 млн сделок/год, 30% - без ипотеки. Электронная регистрация - 1-3 дня вместо 10-14. Безопасные расчеты (аналог эскроу). Ближайшая применимая модель для ACB.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Zillow</w:t>
            </w:r>
            <w:r>
              <w:rPr>
                <w:color w:val="000000" w:themeColor="text1"/>
                <w:sz w:val="24"/>
                <w:szCs w:val="24"/>
              </w:rPr>
              <w:t xml:space="preserve"> (США)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Housing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Super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App</w:t>
            </w:r>
            <w:r>
              <w:rPr>
                <w:color w:val="000000" w:themeColor="text1"/>
                <w:sz w:val="24"/>
                <w:szCs w:val="24"/>
              </w:rPr>
              <w:t xml:space="preserve">: поиск + ипотека + аренда в одном приложении. Маржа &gt;75%, рост ипотечных выдач +53% (2025).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 побеждает как платформа, а не как владелец активов.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Dubai Land Department (ОАЭ)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Государственная </w:t>
            </w:r>
            <w:r>
              <w:rPr>
                <w:color w:val="000000" w:themeColor="text1"/>
                <w:sz w:val="24"/>
                <w:szCs w:val="24"/>
              </w:rPr>
              <w:t xml:space="preserve">PropTech</w:t>
            </w:r>
            <w:r>
              <w:rPr>
                <w:color w:val="000000" w:themeColor="text1"/>
                <w:sz w:val="24"/>
                <w:szCs w:val="24"/>
              </w:rPr>
              <w:t xml:space="preserve">-экосистема: обязательное </w:t>
            </w:r>
            <w:r>
              <w:rPr>
                <w:color w:val="000000" w:themeColor="text1"/>
                <w:sz w:val="24"/>
                <w:szCs w:val="24"/>
              </w:rPr>
              <w:t xml:space="preserve">эскроу</w:t>
            </w:r>
            <w:r>
              <w:rPr>
                <w:color w:val="000000" w:themeColor="text1"/>
                <w:sz w:val="24"/>
                <w:szCs w:val="24"/>
              </w:rPr>
              <w:t xml:space="preserve"> для </w:t>
            </w:r>
            <w:r>
              <w:rPr>
                <w:color w:val="000000" w:themeColor="text1"/>
                <w:sz w:val="24"/>
                <w:szCs w:val="24"/>
              </w:rPr>
              <w:t xml:space="preserve">off-plan</w:t>
            </w:r>
            <w:r>
              <w:rPr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 xml:space="preserve">токенизация</w:t>
            </w:r>
            <w:r>
              <w:rPr>
                <w:color w:val="000000" w:themeColor="text1"/>
                <w:sz w:val="24"/>
                <w:szCs w:val="24"/>
              </w:rPr>
              <w:t xml:space="preserve"> от $136, </w:t>
            </w:r>
            <w:r>
              <w:rPr>
                <w:color w:val="000000" w:themeColor="text1"/>
                <w:sz w:val="24"/>
                <w:szCs w:val="24"/>
              </w:rPr>
              <w:t xml:space="preserve">дистанционная регистрация через REES. Результат: 158 000 сделок за 9 мес. 2025 г. на $136 млрд (+32% г/г). Прямой аналог для </w:t>
            </w:r>
            <w:r>
              <w:rPr>
                <w:color w:val="000000" w:themeColor="text1"/>
                <w:sz w:val="24"/>
                <w:szCs w:val="24"/>
              </w:rPr>
              <w:t xml:space="preserve">Alatau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City</w:t>
            </w:r>
            <w:r>
              <w:rPr>
                <w:color w:val="000000" w:themeColor="text1"/>
                <w:sz w:val="24"/>
                <w:szCs w:val="24"/>
              </w:rPr>
              <w:t xml:space="preserve">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REA Group (Австралия)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Информационный портал эволюционировал в финансовый инструмент. EBITDA &gt;60% - монетизация данных о поведении пользователей.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t xml:space="preserve">Тем временем </w:t>
      </w:r>
      <w:r>
        <w:rPr>
          <w:rFonts w:ascii="Arial" w:hAnsi="Arial" w:cs="Arial"/>
        </w:rPr>
        <w:t xml:space="preserve">в современной структуре </w:t>
      </w:r>
      <w:r>
        <w:rPr>
          <w:rFonts w:ascii="Arial" w:hAnsi="Arial" w:cs="Arial"/>
          <w:lang w:val="en-US"/>
        </w:rPr>
        <w:t xml:space="preserve">Proptech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 xml:space="preserve">отрасли происходит качественное переосмысление ролей: если ранее ConTech воспринимался как узкопрофильное дополнение к процессам застройки, то сегодня он выступает технологическим фундаментом PropTech-экосистемы</w:t>
      </w:r>
      <w:r>
        <w:rPr>
          <w:rFonts w:ascii="Arial" w:hAnsi="Arial" w:cs="Arial"/>
          <w:lang w:val="ru-RU"/>
        </w:rPr>
        <w:t xml:space="preserve">.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Строительство является крупнейшей отраслью в мире, формирующей </w:t>
      </w:r>
      <w:r>
        <w:rPr>
          <w:rFonts w:ascii="Arial" w:hAnsi="Arial" w:cs="Arial"/>
          <w:b/>
          <w:bCs/>
        </w:rPr>
        <w:t xml:space="preserve">13% мирового ВВП</w:t>
      </w:r>
      <w:r>
        <w:rPr>
          <w:rFonts w:ascii="Arial" w:hAnsi="Arial" w:cs="Arial"/>
        </w:rPr>
        <w:t xml:space="preserve"> согласно данным McKinsey Global Institute. Однако, несмотря на колоссальный масштаб, сектор остается одним из наименее эффективных: в то время как средний рост производительности в мировой экономике составляет </w:t>
      </w:r>
      <w:r>
        <w:rPr>
          <w:rFonts w:ascii="Arial" w:hAnsi="Arial" w:cs="Arial"/>
          <w:b/>
          <w:bCs/>
        </w:rPr>
        <w:t xml:space="preserve">2,8%</w:t>
      </w:r>
      <w:r>
        <w:rPr>
          <w:rFonts w:ascii="Arial" w:hAnsi="Arial" w:cs="Arial"/>
        </w:rPr>
        <w:t xml:space="preserve">, в строительстве этот показатель за последние 20 лет не превышал </w:t>
      </w:r>
      <w:r>
        <w:rPr>
          <w:rFonts w:ascii="Arial" w:hAnsi="Arial" w:cs="Arial"/>
          <w:b/>
          <w:bCs/>
        </w:rPr>
        <w:t xml:space="preserve">1%</w:t>
      </w:r>
      <w:r>
        <w:rPr>
          <w:rFonts w:ascii="Arial" w:hAnsi="Arial" w:cs="Arial"/>
        </w:rPr>
        <w:t xml:space="preserve"> в год. Этот разрыв в эффективности представляет собой скрытый резерв для роста, который становится критически важным на фоне беспрецедентного увеличения глобальных расходов. Ожидается, что к 2040 году объем инвестиций в строительство вырастет с текущих </w:t>
      </w:r>
      <w:r>
        <w:rPr>
          <w:rFonts w:ascii="Arial" w:hAnsi="Arial" w:cs="Arial"/>
          <w:b/>
          <w:bCs/>
        </w:rPr>
        <w:t xml:space="preserve">$13 трлн</w:t>
      </w:r>
      <w:r>
        <w:rPr>
          <w:rFonts w:ascii="Arial" w:hAnsi="Arial" w:cs="Arial"/>
        </w:rPr>
        <w:t xml:space="preserve"> до </w:t>
      </w:r>
      <w:r>
        <w:rPr>
          <w:rFonts w:ascii="Arial" w:hAnsi="Arial" w:cs="Arial"/>
          <w:b/>
          <w:bCs/>
        </w:rPr>
        <w:t xml:space="preserve">$22 трлн</w:t>
      </w:r>
      <w:r>
        <w:rPr>
          <w:rFonts w:ascii="Arial" w:hAnsi="Arial" w:cs="Arial"/>
        </w:rPr>
        <w:t xml:space="preserve">, подгоняемый неумолимым трендом урбанизации </w:t>
      </w:r>
      <w:r>
        <w:rPr>
          <w:rFonts w:ascii="Arial" w:hAnsi="Arial" w:cs="Arial"/>
          <w:lang w:val="ru-RU"/>
        </w:rPr>
        <w:t xml:space="preserve">-</w:t>
      </w:r>
      <w:r>
        <w:rPr>
          <w:rFonts w:ascii="Arial" w:hAnsi="Arial" w:cs="Arial"/>
        </w:rPr>
        <w:t xml:space="preserve"> к 2050 году семь из десяти жителей планеты станут горожанами, формируя устойчивый долгосрочный спрос на жилую площадь.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Параллельно с количественным давлением отрасль сталкивается с неизбежной волной ESG-регулирования. Зд</w:t>
      </w:r>
      <w:r>
        <w:rPr>
          <w:rFonts w:ascii="Arial" w:hAnsi="Arial" w:cs="Arial"/>
        </w:rPr>
        <w:t xml:space="preserve">ания сегодня генерируют до трети мировых парниковых выбросов, что делает переход к «зеленым» нормам не вопросом выбора, а условием выживания на рынке. В этих обстоятельствах единственным выходом становится глубокая индустриализация процессов, прежде всего </w:t>
      </w:r>
      <w:r>
        <w:rPr>
          <w:rFonts w:ascii="Arial" w:hAnsi="Arial" w:cs="Arial"/>
          <w:lang w:val="ru-RU"/>
        </w:rPr>
        <w:t xml:space="preserve">-</w:t>
      </w:r>
      <w:r>
        <w:rPr>
          <w:rFonts w:ascii="Arial" w:hAnsi="Arial" w:cs="Arial"/>
        </w:rPr>
        <w:t xml:space="preserve"> через развитие модульного строительства. Этот сегмент уже демонстрирует впечатляющую динамику: с </w:t>
      </w:r>
      <w:r>
        <w:rPr>
          <w:rFonts w:ascii="Arial" w:hAnsi="Arial" w:cs="Arial"/>
          <w:b/>
          <w:bCs/>
        </w:rPr>
        <w:t xml:space="preserve">$180 млрд</w:t>
      </w:r>
      <w:r>
        <w:rPr>
          <w:rFonts w:ascii="Arial" w:hAnsi="Arial" w:cs="Arial"/>
        </w:rPr>
        <w:t xml:space="preserve"> в 2022 году рынок вырастет до </w:t>
      </w:r>
      <w:r>
        <w:rPr>
          <w:rFonts w:ascii="Arial" w:hAnsi="Arial" w:cs="Arial"/>
          <w:b/>
          <w:bCs/>
        </w:rPr>
        <w:t xml:space="preserve">$540 млрд</w:t>
      </w:r>
      <w:r>
        <w:rPr>
          <w:rFonts w:ascii="Arial" w:hAnsi="Arial" w:cs="Arial"/>
        </w:rPr>
        <w:t xml:space="preserve"> к 2040 году.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Мировая практика доказывает, что технологический скачок возможен только при системном подходе. Так, в Сингапуре модульное строительство стало обязательным для социального жилья еще в 2014 году, что к 2020 году обеспечило охват в </w:t>
      </w:r>
      <w:r>
        <w:rPr>
          <w:rFonts w:ascii="Arial" w:hAnsi="Arial" w:cs="Arial"/>
          <w:b/>
          <w:bCs/>
        </w:rPr>
        <w:t xml:space="preserve">39%</w:t>
      </w:r>
      <w:r>
        <w:rPr>
          <w:rFonts w:ascii="Arial" w:hAnsi="Arial" w:cs="Arial"/>
        </w:rPr>
        <w:t xml:space="preserve"> всего нового фонда и подняло продуктивность труда на </w:t>
      </w:r>
      <w:r>
        <w:rPr>
          <w:rFonts w:ascii="Arial" w:hAnsi="Arial" w:cs="Arial"/>
          <w:b/>
          <w:bCs/>
        </w:rPr>
        <w:t xml:space="preserve">50%</w:t>
      </w:r>
      <w:r>
        <w:rPr>
          <w:rFonts w:ascii="Arial" w:hAnsi="Arial" w:cs="Arial"/>
        </w:rPr>
        <w:t xml:space="preserve">. Аналогичный успех демонстрирует Швеция, где более </w:t>
      </w:r>
      <w:r>
        <w:rPr>
          <w:rFonts w:ascii="Arial" w:hAnsi="Arial" w:cs="Arial"/>
          <w:b/>
          <w:bCs/>
        </w:rPr>
        <w:t xml:space="preserve">30%</w:t>
      </w:r>
      <w:r>
        <w:rPr>
          <w:rFonts w:ascii="Arial" w:hAnsi="Arial" w:cs="Arial"/>
        </w:rPr>
        <w:t xml:space="preserve"> нового жилья возводится модульным способом, что позволило снизить строительные расходы на </w:t>
      </w:r>
      <w:r>
        <w:rPr>
          <w:rFonts w:ascii="Arial" w:hAnsi="Arial" w:cs="Arial"/>
          <w:b/>
          <w:bCs/>
        </w:rPr>
        <w:t xml:space="preserve">19%</w:t>
      </w:r>
      <w:r>
        <w:rPr>
          <w:rFonts w:ascii="Arial" w:hAnsi="Arial" w:cs="Arial"/>
        </w:rPr>
        <w:t xml:space="preserve"> и полностью исключить влияние погодных факторов на сроки сдачи объектов. 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Таким образом, без цифровой трансформации этапа физического производства (строительства) любые надстроечные сервисы (от ипотеки до токен</w:t>
      </w:r>
      <w:r>
        <w:rPr>
          <w:rFonts w:ascii="Arial" w:hAnsi="Arial" w:cs="Arial"/>
        </w:rPr>
        <w:t xml:space="preserve">изации) сталкиваются с жестким барьером в виде низкой производительности и неконтролируемой себестоимости базового актива. ConTech сегодня необходимое условие для масштабируемости и экономической эффективности всей цепочки создания стоимости в недвижимости</w:t>
      </w:r>
      <w:r>
        <w:rPr>
          <w:rFonts w:ascii="Arial" w:hAnsi="Arial" w:cs="Arial"/>
          <w:lang w:val="ru-RU"/>
        </w:rPr>
        <w:t xml:space="preserve">.</w:t>
      </w:r>
      <w:r>
        <w:rPr>
          <w:rFonts w:ascii="Arial" w:hAnsi="Arial" w:cs="Arial"/>
          <w:lang w:val="ru-RU"/>
        </w:rPr>
      </w:r>
    </w:p>
    <w:p>
      <w:pPr>
        <w:pStyle w:val="705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i/>
          <w:lang w:val="ru-RU"/>
        </w:rPr>
      </w:pPr>
      <w:r>
        <w:rPr>
          <w:rFonts w:ascii="Arial" w:hAnsi="Arial" w:cs="Arial"/>
          <w:i/>
          <w:lang w:val="ru-RU"/>
        </w:rPr>
        <w:t xml:space="preserve">Контекст Казахстана и </w:t>
      </w:r>
      <w:r>
        <w:rPr>
          <w:rFonts w:ascii="Arial" w:hAnsi="Arial" w:cs="Arial"/>
          <w:i/>
          <w:lang w:val="en-US"/>
        </w:rPr>
        <w:t xml:space="preserve">Alatau</w:t>
      </w:r>
      <w:r>
        <w:rPr>
          <w:rFonts w:ascii="Arial" w:hAnsi="Arial" w:cs="Arial"/>
          <w:i/>
          <w:lang w:val="ru-RU"/>
        </w:rPr>
        <w:t xml:space="preserve"> </w:t>
      </w:r>
      <w:r>
        <w:rPr>
          <w:rFonts w:ascii="Arial" w:hAnsi="Arial" w:cs="Arial"/>
          <w:i/>
          <w:lang w:val="en-US"/>
        </w:rPr>
        <w:t xml:space="preserve">city</w:t>
      </w:r>
      <w:r>
        <w:rPr>
          <w:rFonts w:ascii="Arial" w:hAnsi="Arial" w:cs="Arial"/>
          <w:i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Понимание</w:t>
      </w:r>
      <w:r>
        <w:rPr>
          <w:rFonts w:ascii="Arial" w:hAnsi="Arial" w:cs="Arial"/>
        </w:rPr>
        <w:t xml:space="preserve"> глобальных трендов и технологического разрыва в строительстве задает необходимый масштаб для оценки текущих возможностей. Однако переход от мировых бенчмарков к практической реализации требует наложения этих данных на жесткую матрицу локальной специфики. 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Казахстанский макроэкономический контекст сегодня характеризуется глубоким противоречием между финансовым масштабом отрасли и е</w:t>
      </w:r>
      <w:r>
        <w:rPr>
          <w:rFonts w:ascii="Arial" w:hAnsi="Arial" w:cs="Arial"/>
        </w:rPr>
        <w:t xml:space="preserve">е</w:t>
      </w:r>
      <w:r>
        <w:rPr>
          <w:rFonts w:ascii="Arial" w:hAnsi="Arial" w:cs="Arial"/>
        </w:rPr>
        <w:t xml:space="preserve"> институциональной незрелостью. Рынок недвижимости Республики 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 это колоссальный массив капитала с совокупным годовым оборотом в </w:t>
      </w:r>
      <w:r>
        <w:rPr>
          <w:rFonts w:ascii="Arial" w:hAnsi="Arial" w:cs="Arial"/>
          <w:b/>
          <w:bCs/>
        </w:rPr>
        <w:t xml:space="preserve">12 трлн тенге</w:t>
      </w:r>
      <w:r>
        <w:rPr>
          <w:rFonts w:ascii="Arial" w:hAnsi="Arial" w:cs="Arial"/>
        </w:rPr>
        <w:t xml:space="preserve">, однако сектор до сих пор остается «последним бастионом» непрозрачности в национальной экономике. Системный кризис доверия на первичном рынке подтверждается тем, что </w:t>
      </w:r>
      <w:r>
        <w:rPr>
          <w:rFonts w:ascii="Arial" w:hAnsi="Arial" w:cs="Arial"/>
          <w:b/>
          <w:bCs/>
        </w:rPr>
        <w:t xml:space="preserve">68% сделок</w:t>
      </w:r>
      <w:r>
        <w:rPr>
          <w:rFonts w:ascii="Arial" w:hAnsi="Arial" w:cs="Arial"/>
        </w:rPr>
        <w:t xml:space="preserve"> долевого строительства проводятся через незаконные схемы (такие как договоры бронирования), что ежегодно генерирует более 15 тысяч обманутых дольщиков. Параллельно с этим до </w:t>
      </w:r>
      <w:r>
        <w:rPr>
          <w:rFonts w:ascii="Arial" w:hAnsi="Arial" w:cs="Arial"/>
          <w:b/>
          <w:bCs/>
        </w:rPr>
        <w:t xml:space="preserve">70% рынка аренды</w:t>
      </w:r>
      <w:r>
        <w:rPr>
          <w:rFonts w:ascii="Arial" w:hAnsi="Arial" w:cs="Arial"/>
        </w:rPr>
        <w:t xml:space="preserve"> функционирует вне правового поля, что не только ограничивает налоговые поступления, но и лишает финансовую систему критически важных данных для качественного скоринга потребителей.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Социологический профиль отрасли, сформированный исследованиями </w:t>
      </w:r>
      <w:r>
        <w:rPr>
          <w:rFonts w:ascii="Arial" w:hAnsi="Arial" w:cs="Arial"/>
          <w:i/>
          <w:iCs/>
        </w:rPr>
        <w:t xml:space="preserve">Adam Research</w:t>
      </w:r>
      <w:r>
        <w:rPr>
          <w:rFonts w:ascii="Arial" w:hAnsi="Arial" w:cs="Arial"/>
        </w:rPr>
        <w:t xml:space="preserve">, обнажает глубокий дефицит качественного предложения: лишь </w:t>
      </w:r>
      <w:r>
        <w:rPr>
          <w:rFonts w:ascii="Arial" w:hAnsi="Arial" w:cs="Arial"/>
          <w:b/>
          <w:bCs/>
        </w:rPr>
        <w:t xml:space="preserve">37% казахстанцев</w:t>
      </w:r>
      <w:r>
        <w:rPr>
          <w:rFonts w:ascii="Arial" w:hAnsi="Arial" w:cs="Arial"/>
        </w:rPr>
        <w:t xml:space="preserve"> оценивают свои текущие жилищные условия как «хорошие». При этом в обществе накоплен беспрецедентный отложенный спрос 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47% граждан</w:t>
      </w:r>
      <w:r>
        <w:rPr>
          <w:rFonts w:ascii="Arial" w:hAnsi="Arial" w:cs="Arial"/>
        </w:rPr>
        <w:t xml:space="preserve"> планируют покупку недвижимости в ближайшие пять лет, а среди молодежи до 29 лет этот показатель достигает критических </w:t>
      </w:r>
      <w:r>
        <w:rPr>
          <w:rFonts w:ascii="Arial" w:hAnsi="Arial" w:cs="Arial"/>
          <w:b/>
          <w:bCs/>
        </w:rPr>
        <w:t xml:space="preserve">70%</w:t>
      </w:r>
      <w:r>
        <w:rPr>
          <w:rFonts w:ascii="Arial" w:hAnsi="Arial" w:cs="Arial"/>
        </w:rPr>
        <w:t xml:space="preserve">. В условиях, когда собственная квартира воспринимается как базовый элемент социальной брони, неудовлетворенность этим запросом становится мощным драйвером внутренней миграции. От </w:t>
      </w:r>
      <w:r>
        <w:rPr>
          <w:rFonts w:ascii="Arial" w:hAnsi="Arial" w:cs="Arial"/>
          <w:b/>
          <w:bCs/>
        </w:rPr>
        <w:t xml:space="preserve">40% до 50% граждан</w:t>
      </w:r>
      <w:r>
        <w:rPr>
          <w:rFonts w:ascii="Arial" w:hAnsi="Arial" w:cs="Arial"/>
        </w:rPr>
        <w:t xml:space="preserve">, не имеющих собственности, называют улучшение жилищных условий главным мотивом для смены региона проживания, что создает прямой запрос на такие проекты, как Alatau City, способные стать новыми центрами притяжения населения.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Однако жилищный в</w:t>
      </w:r>
      <w:r>
        <w:rPr>
          <w:rFonts w:ascii="Arial" w:hAnsi="Arial" w:cs="Arial"/>
        </w:rPr>
        <w:t xml:space="preserve">опрос в Казахстане давно перестал быть чисто экономическим. Данные подтверждают прямую связь между качеством жилья и социальной стабильностью: среди граждан, неудовлетворенных своими условиями проживания, критиков деятельности государственных институтов в </w:t>
      </w:r>
      <w:r>
        <w:rPr>
          <w:rFonts w:ascii="Arial" w:hAnsi="Arial" w:cs="Arial"/>
          <w:b/>
          <w:bCs/>
        </w:rPr>
        <w:t xml:space="preserve">3,1 раза больше</w:t>
      </w:r>
      <w:r>
        <w:rPr>
          <w:rFonts w:ascii="Arial" w:hAnsi="Arial" w:cs="Arial"/>
        </w:rPr>
        <w:t xml:space="preserve">, чем в группе</w:t>
      </w:r>
      <w:r>
        <w:rPr>
          <w:rFonts w:ascii="Arial" w:hAnsi="Arial" w:cs="Arial"/>
        </w:rPr>
        <w:t xml:space="preserve"> удовлетворенных. Таким образом, рынок недвижимости напрямую формирует электоральный климат страны. В этом контексте проект Alatau City с его особым правовым статусом выступает не просто как строительная площадка, а как необходимый полигон для легализации </w:t>
      </w:r>
      <w:r>
        <w:rPr>
          <w:rFonts w:ascii="Arial" w:hAnsi="Arial" w:cs="Arial"/>
        </w:rPr>
        <w:t xml:space="preserve">12-триллионного оборота и конвертации его в прозрачную цифровую среду, способную закрыть критические потребности населения и обеспечить долгосрочную устойчивость государства.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Анализ текущего состояния сектора в Казахстане позволяет классифицировать его как крупнейший, но при этом наименее нормализованный потребительский рынок страны. Жилье для казахстанца </w:t>
      </w:r>
      <w:r>
        <w:rPr>
          <w:rFonts w:ascii="Arial" w:hAnsi="Arial" w:cs="Arial"/>
          <w:color w:val="000000" w:themeColor="text1"/>
          <w:lang w:val="ru-RU"/>
        </w:rPr>
        <w:t xml:space="preserve">-</w:t>
      </w:r>
      <w:r>
        <w:rPr>
          <w:rFonts w:ascii="Arial" w:hAnsi="Arial" w:cs="Arial"/>
          <w:color w:val="000000" w:themeColor="text1"/>
        </w:rPr>
        <w:t xml:space="preserve"> это не только самая значительная разовая трата в жизни, но и основной инструмент сбережения и инвестирования накоплений. Однако, несмотря на финансовую емкость, отрасль остается в состоянии «дикого» рынка: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2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Кризис доверия и посредничества:</w:t>
      </w:r>
      <w:r>
        <w:rPr>
          <w:rFonts w:ascii="Arial" w:hAnsi="Arial" w:cs="Arial"/>
          <w:color w:val="000000" w:themeColor="text1"/>
        </w:rPr>
        <w:t xml:space="preserve"> На рынке отсутствует адекватное профессиональное звено между сотнями тысяч участников С2C и B2C </w:t>
      </w:r>
      <w:r>
        <w:rPr>
          <w:rFonts w:ascii="Arial" w:hAnsi="Arial" w:cs="Arial"/>
          <w:color w:val="000000" w:themeColor="text1"/>
        </w:rPr>
        <w:t xml:space="preserve">сегментов. Существующий институт риэлторства воспринимается потребителями как ненадлежащий и неоправданно дорогой сервис, не несущий реальной ответственности за результат.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2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Функциональный разрыв:</w:t>
      </w:r>
      <w:r>
        <w:rPr>
          <w:rFonts w:ascii="Arial" w:hAnsi="Arial" w:cs="Arial"/>
          <w:color w:val="000000" w:themeColor="text1"/>
        </w:rPr>
        <w:t xml:space="preserve"> Современные ци</w:t>
      </w:r>
      <w:r>
        <w:rPr>
          <w:rFonts w:ascii="Arial" w:hAnsi="Arial" w:cs="Arial"/>
          <w:color w:val="000000" w:themeColor="text1"/>
        </w:rPr>
        <w:t xml:space="preserve">фровые платформы ограничены лишь функцией поиска объектов. Процедурный цикл (оценка, юридическое сопровождение, нотариальное заверение и финансовые расчеты) полностью оторван от этапа выбора, что создает высокие транзакционные издержки и риски для граждан.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2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«Серые» зоны сопутствующих услуг:</w:t>
      </w:r>
      <w:r>
        <w:rPr>
          <w:rFonts w:ascii="Arial" w:hAnsi="Arial" w:cs="Arial"/>
          <w:color w:val="000000" w:themeColor="text1"/>
        </w:rPr>
        <w:t xml:space="preserve"> Особую зону социальной напряженности формирует рынок ремонта и обустройства. Отсутствие стандартов качества и повсеместное мошенничество («кидалово» на миллионы тенге) превращают финальный этап приобретения жилья в зону максимального риска.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Рынок недвижимости Казахстана сегодня представляет собой фрагментированную среду с критически низким уровнем сервиса. Это создает идеальные условия для появления </w:t>
      </w:r>
      <w:r>
        <w:rPr>
          <w:rFonts w:ascii="Arial" w:hAnsi="Arial" w:cs="Arial"/>
          <w:b/>
          <w:bCs/>
          <w:color w:val="000000" w:themeColor="text1"/>
        </w:rPr>
        <w:t xml:space="preserve">единого оператора полного цикла</w:t>
      </w:r>
      <w:r>
        <w:rPr>
          <w:rFonts w:ascii="Arial" w:hAnsi="Arial" w:cs="Arial"/>
          <w:color w:val="000000" w:themeColor="text1"/>
        </w:rPr>
        <w:t xml:space="preserve">, способного нормализовать отрасль и взять под контроль весь жизненный путь клиента </w:t>
      </w:r>
      <w:r>
        <w:rPr>
          <w:rFonts w:ascii="Arial" w:hAnsi="Arial" w:cs="Arial"/>
          <w:color w:val="000000" w:themeColor="text1"/>
          <w:lang w:val="ru-RU"/>
        </w:rPr>
        <w:t xml:space="preserve">-</w:t>
      </w:r>
      <w:r>
        <w:rPr>
          <w:rFonts w:ascii="Arial" w:hAnsi="Arial" w:cs="Arial"/>
          <w:color w:val="000000" w:themeColor="text1"/>
        </w:rPr>
        <w:t xml:space="preserve"> от первой мысли о покупке до безопасного завершения ремонта.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Для проектирования эффективной PropTech-платформы необходимо учитывать специфическую архитектур</w:t>
      </w:r>
      <w:r>
        <w:rPr>
          <w:rFonts w:ascii="Arial" w:hAnsi="Arial" w:cs="Arial"/>
          <w:color w:val="000000" w:themeColor="text1"/>
        </w:rPr>
        <w:t xml:space="preserve">у потребительского поведения, которая радикально отличается от стандартных e-commerce моделей. Рынок недвижимости характеризуется экстремально высокими ставками и системными рыночными провалами, которые определяют логику взаимодействия клиента с продуктом.</w:t>
      </w:r>
      <w:r>
        <w:rPr>
          <w:rFonts w:ascii="Arial" w:hAnsi="Arial" w:cs="Arial"/>
          <w:color w:val="000000" w:themeColor="text1"/>
        </w:rPr>
      </w:r>
    </w:p>
    <w:p>
      <w:pPr>
        <w:pStyle w:val="689"/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1. Парадокс «Сверхвысокой рациональности»</w:t>
      </w:r>
      <w:r>
        <w:rPr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Покупка жилья </w:t>
      </w:r>
      <w:r>
        <w:rPr>
          <w:rFonts w:ascii="Arial" w:hAnsi="Arial" w:cs="Arial"/>
          <w:color w:val="000000" w:themeColor="text1"/>
        </w:rPr>
        <w:t xml:space="preserve">-</w:t>
      </w:r>
      <w:r>
        <w:rPr>
          <w:rFonts w:ascii="Arial" w:hAnsi="Arial" w:cs="Arial"/>
          <w:color w:val="000000" w:themeColor="text1"/>
        </w:rPr>
        <w:t xml:space="preserve"> это крупнейший разовый расход в жизни человека, совершаемый преимущественно на собственные средства. Это формирует </w:t>
      </w:r>
      <w:r>
        <w:rPr>
          <w:rFonts w:ascii="Arial" w:hAnsi="Arial" w:cs="Arial"/>
          <w:b/>
          <w:bCs/>
          <w:color w:val="000000" w:themeColor="text1"/>
        </w:rPr>
        <w:t xml:space="preserve">максимальный уровень мотивации к эффективности</w:t>
      </w:r>
      <w:r>
        <w:rPr>
          <w:rFonts w:ascii="Arial" w:hAnsi="Arial" w:cs="Arial"/>
          <w:color w:val="000000" w:themeColor="text1"/>
        </w:rPr>
        <w:t xml:space="preserve"> и полезности. Потребитель в PropTech предельно рационален: выбор объекта может длиться месяцами, а каждое решение проходит через жесткий фильтр </w:t>
      </w:r>
      <w:r>
        <w:rPr>
          <w:rFonts w:ascii="Arial" w:hAnsi="Arial" w:cs="Arial"/>
          <w:color w:val="000000" w:themeColor="text1"/>
        </w:rPr>
        <w:t xml:space="preserve">личных финансовых рисков. При этом специфика актива такова, что его качество (состояние дома, инженерных сетей, ликвидность в будущем) крайне трудно оценить «здесь и сейчас». Эта информационная асимметрия создает почву для манипуляций со стороны продавцов.</w:t>
      </w:r>
      <w:r>
        <w:rPr>
          <w:rFonts w:ascii="Arial" w:hAnsi="Arial" w:cs="Arial"/>
          <w:color w:val="000000" w:themeColor="text1"/>
        </w:rPr>
      </w:r>
    </w:p>
    <w:p>
      <w:pPr>
        <w:pStyle w:val="689"/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2. Проблема удержания и частоты транзакций</w:t>
      </w:r>
      <w:r>
        <w:rPr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Одной из главных сложностей PropTech-бизнеса является </w:t>
      </w:r>
      <w:r>
        <w:rPr>
          <w:rFonts w:ascii="Arial" w:hAnsi="Arial" w:cs="Arial"/>
          <w:b/>
          <w:bCs/>
          <w:color w:val="000000" w:themeColor="text1"/>
        </w:rPr>
        <w:t xml:space="preserve">низкая частота транзакций</w:t>
      </w:r>
      <w:r>
        <w:rPr>
          <w:rFonts w:ascii="Arial" w:hAnsi="Arial" w:cs="Arial"/>
          <w:color w:val="000000" w:themeColor="text1"/>
        </w:rPr>
        <w:t xml:space="preserve">. В отличие от банковского ритейла или фудтеха, покупка недвижимости </w:t>
      </w:r>
      <w:r>
        <w:rPr>
          <w:rFonts w:ascii="Arial" w:hAnsi="Arial" w:cs="Arial"/>
          <w:color w:val="000000" w:themeColor="text1"/>
        </w:rPr>
        <w:t xml:space="preserve">-</w:t>
      </w:r>
      <w:r>
        <w:rPr>
          <w:rFonts w:ascii="Arial" w:hAnsi="Arial" w:cs="Arial"/>
          <w:color w:val="000000" w:themeColor="text1"/>
        </w:rPr>
        <w:t xml:space="preserve"> событие разовое и редкое. Это делает задачу удержания (retention) клиента после завершения сделки практическ</w:t>
      </w:r>
      <w:r>
        <w:rPr>
          <w:rFonts w:ascii="Arial" w:hAnsi="Arial" w:cs="Arial"/>
          <w:color w:val="000000" w:themeColor="text1"/>
        </w:rPr>
        <w:t xml:space="preserve">и невыполнимой в рамках классической модели «купли-продажи». Без интеграции дополнительных сервисов (ремонт, ЖКУ, управление собственностью) платформа рискует терять клиента сразу после финализации контракта, что резко повышает стоимость привлечения (CAC).</w:t>
      </w:r>
      <w:r>
        <w:rPr>
          <w:rFonts w:ascii="Arial" w:hAnsi="Arial" w:cs="Arial"/>
          <w:color w:val="000000" w:themeColor="text1"/>
        </w:rPr>
      </w:r>
    </w:p>
    <w:p>
      <w:pPr>
        <w:pStyle w:val="689"/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 Рыночный провал: «Рынок лимонов» в недвижимости</w:t>
      </w:r>
      <w:r>
        <w:rPr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Наиболее критическим барьером являются </w:t>
      </w:r>
      <w:r>
        <w:rPr>
          <w:rFonts w:ascii="Arial" w:hAnsi="Arial" w:cs="Arial"/>
          <w:b/>
          <w:bCs/>
          <w:color w:val="000000" w:themeColor="text1"/>
        </w:rPr>
        <w:t xml:space="preserve">колоссальные транзакционные издержки</w:t>
      </w:r>
      <w:r>
        <w:rPr>
          <w:rFonts w:ascii="Arial" w:hAnsi="Arial" w:cs="Arial"/>
          <w:color w:val="000000" w:themeColor="text1"/>
        </w:rPr>
        <w:t xml:space="preserve">, которые приводят к классическому эффекту </w:t>
      </w:r>
      <w:r>
        <w:rPr>
          <w:rFonts w:ascii="Arial" w:hAnsi="Arial" w:cs="Arial"/>
          <w:i/>
          <w:iCs/>
          <w:color w:val="000000" w:themeColor="text1"/>
        </w:rPr>
        <w:t xml:space="preserve">Adverse selection</w:t>
      </w:r>
      <w:r>
        <w:rPr>
          <w:rFonts w:ascii="Arial" w:hAnsi="Arial" w:cs="Arial"/>
          <w:color w:val="000000" w:themeColor="text1"/>
        </w:rPr>
        <w:t xml:space="preserve"> (ухудшающего отбора) или «Проблеме лимонов» (Akerlof’s lemons problem).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3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Суть проблемы:</w:t>
      </w:r>
      <w:r>
        <w:rPr>
          <w:rFonts w:ascii="Arial" w:hAnsi="Arial" w:cs="Arial"/>
          <w:color w:val="000000" w:themeColor="text1"/>
        </w:rPr>
        <w:t xml:space="preserve"> Из-за высокого риска нарваться на некачественный актив или откровенное мошенничество (даже у крупных брендов), а также из-за </w:t>
      </w:r>
      <w:r>
        <w:rPr>
          <w:rFonts w:ascii="Arial" w:hAnsi="Arial" w:cs="Arial"/>
          <w:color w:val="000000" w:themeColor="text1"/>
        </w:rPr>
        <w:t xml:space="preserve">бесполезности текущих посредников, доверие на рынке находится на критически низком уровне.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3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Последствие:</w:t>
      </w:r>
      <w:r>
        <w:rPr>
          <w:rFonts w:ascii="Arial" w:hAnsi="Arial" w:cs="Arial"/>
          <w:color w:val="000000" w:themeColor="text1"/>
        </w:rPr>
        <w:t xml:space="preserve"> Честные игроки с качественным продук</w:t>
      </w:r>
      <w:r>
        <w:rPr>
          <w:rFonts w:ascii="Arial" w:hAnsi="Arial" w:cs="Arial"/>
          <w:color w:val="000000" w:themeColor="text1"/>
        </w:rPr>
        <w:t xml:space="preserve">том вытесняются теми, кто готов демпинговать за счет снижения качества или использования «серых» схем. В итоге рынок остается во власти непрофессионалов и мошенников, а потребитель оказывается в ситуации, где «высокая комиссия не гарантирует безопасности».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  <w:lang w:val="ru-RU"/>
        </w:rPr>
      </w:pPr>
      <w:r>
        <w:rPr>
          <w:rFonts w:ascii="Arial" w:hAnsi="Arial" w:cs="Arial"/>
          <w:color w:val="000000" w:themeColor="text1"/>
        </w:rPr>
        <w:t xml:space="preserve">Текущее состояние рынка </w:t>
      </w:r>
      <w:r>
        <w:rPr>
          <w:rFonts w:ascii="Arial" w:hAnsi="Arial" w:cs="Arial"/>
          <w:color w:val="000000" w:themeColor="text1"/>
        </w:rPr>
        <w:t xml:space="preserve">-</w:t>
      </w:r>
      <w:r>
        <w:rPr>
          <w:rFonts w:ascii="Arial" w:hAnsi="Arial" w:cs="Arial"/>
          <w:color w:val="000000" w:themeColor="text1"/>
        </w:rPr>
        <w:t xml:space="preserve"> это классический «рынок лимонов», где отсутствие доверия блокирует развитие всей отрасли. Задача PropTech-трансформации стать тем самым </w:t>
      </w:r>
      <w:r>
        <w:rPr>
          <w:rFonts w:ascii="Arial" w:hAnsi="Arial" w:cs="Arial"/>
          <w:b/>
          <w:bCs/>
          <w:color w:val="000000" w:themeColor="text1"/>
        </w:rPr>
        <w:t xml:space="preserve">институциональным гарантом</w:t>
      </w:r>
      <w:r>
        <w:rPr>
          <w:rFonts w:ascii="Arial" w:hAnsi="Arial" w:cs="Arial"/>
          <w:color w:val="000000" w:themeColor="text1"/>
        </w:rPr>
        <w:t xml:space="preserve">, который за счет цифровой верификации, прозрачных процедур и контроля качества разрушит эту асимметрию и снизит транзакционные издержки до уровня, при котором честная сделка станет стандартом, а не исключением.</w:t>
      </w:r>
      <w:r>
        <w:rPr>
          <w:rFonts w:ascii="Arial" w:hAnsi="Arial" w:cs="Arial"/>
          <w:color w:val="000000" w:themeColor="text1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  <w:r>
        <w:rPr>
          <w:rFonts w:ascii="Arial" w:hAnsi="Arial" w:cs="Arial"/>
          <w:lang w:val="ru-RU"/>
        </w:rPr>
      </w:r>
    </w:p>
    <w:p>
      <w:pPr>
        <w:pStyle w:val="706"/>
        <w:ind w:firstLine="567"/>
        <w:spacing w:before="0" w:after="0"/>
        <w:rPr>
          <w:color w:val="000000" w:themeColor="text1"/>
        </w:rPr>
      </w:pPr>
      <w:r>
        <w:rPr>
          <w:color w:val="000000" w:themeColor="text1"/>
        </w:rPr>
        <w:t xml:space="preserve">Для оценки адресуемого рынка используется стандартная трехуровневая модель TAM / SAM / SOM (</w:t>
      </w:r>
      <w:r>
        <w:rPr>
          <w:color w:val="000000" w:themeColor="text1"/>
        </w:rPr>
        <w:t xml:space="preserve">Total</w:t>
      </w:r>
      <w:r>
        <w:rPr>
          <w:color w:val="000000" w:themeColor="text1"/>
        </w:rPr>
        <w:t xml:space="preserve"> / </w:t>
      </w:r>
      <w:r>
        <w:rPr>
          <w:color w:val="000000" w:themeColor="text1"/>
        </w:rPr>
        <w:t xml:space="preserve">Serviceable</w:t>
      </w:r>
      <w:r>
        <w:rPr>
          <w:color w:val="000000" w:themeColor="text1"/>
        </w:rPr>
        <w:t xml:space="preserve"> / </w:t>
      </w:r>
      <w:r>
        <w:rPr>
          <w:color w:val="000000" w:themeColor="text1"/>
        </w:rPr>
        <w:t xml:space="preserve">Obtainable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Market</w:t>
      </w:r>
      <w:r>
        <w:rPr>
          <w:color w:val="000000" w:themeColor="text1"/>
        </w:rPr>
        <w:t xml:space="preserve"> - весь рынок / адресуемый рынок / достижимая доля). </w:t>
      </w:r>
      <w:r>
        <w:rPr>
          <w:color w:val="000000" w:themeColor="text1"/>
        </w:rPr>
      </w:r>
    </w:p>
    <w:p>
      <w:pPr>
        <w:pStyle w:val="706"/>
        <w:ind w:firstLine="567"/>
        <w:spacing w:before="0" w:after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567"/>
        <w:jc w:val="right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Таблица 3. Объем казахстанского рынка</w:t>
      </w:r>
      <w:r>
        <w:rPr>
          <w:i/>
          <w:color w:val="000000" w:themeColor="text1"/>
          <w:sz w:val="24"/>
          <w:szCs w:val="24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7"/>
        <w:gridCol w:w="2532"/>
        <w:gridCol w:w="1849"/>
        <w:gridCol w:w="2558"/>
      </w:tblGrid>
      <w:tr>
        <w:tblPrEx/>
        <w:trPr/>
        <w:tc>
          <w:tcPr>
            <w:shd w:val="clear" w:color="auto" w:fill="1f3864"/>
            <w:tcMar>
              <w:left w:w="150" w:type="dxa"/>
              <w:top w:w="100" w:type="dxa"/>
              <w:right w:w="150" w:type="dxa"/>
              <w:bottom w:w="100" w:type="dxa"/>
            </w:tcMar>
            <w:tcW w:w="2087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Уровень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1f3864"/>
            <w:tcMar>
              <w:left w:w="150" w:type="dxa"/>
              <w:top w:w="100" w:type="dxa"/>
              <w:right w:w="150" w:type="dxa"/>
              <w:bottom w:w="100" w:type="dxa"/>
            </w:tcMar>
            <w:tcW w:w="2532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Название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1f3864"/>
            <w:tcMar>
              <w:left w:w="150" w:type="dxa"/>
              <w:top w:w="100" w:type="dxa"/>
              <w:right w:w="150" w:type="dxa"/>
              <w:bottom w:w="100" w:type="dxa"/>
            </w:tcMar>
            <w:tcW w:w="1849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Объем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1f3864"/>
            <w:tcMar>
              <w:left w:w="150" w:type="dxa"/>
              <w:top w:w="100" w:type="dxa"/>
              <w:right w:w="150" w:type="dxa"/>
              <w:bottom w:w="100" w:type="dxa"/>
            </w:tcMar>
            <w:tcW w:w="2558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Состав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087" w:type="dxa"/>
            <w:textDirection w:val="lrTb"/>
            <w:noWrap w:val="false"/>
          </w:tcPr>
          <w:p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TAM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"https://www.google.com/search?q=Total+Addressable+Market&amp;oq=tam+sam+som&amp;gs_lcrp=EgZjaHJv</w:instrText>
            </w:r>
            <w:r>
              <w:rPr>
                <w:sz w:val="24"/>
                <w:szCs w:val="24"/>
              </w:rPr>
              <w:instrText xml:space="preserve">bWUqDggAEEUYJxg7GIAEGIoFMg4IABBFGCcYOxiABBiKBTIHCAEQABiABDIHCAIQABiABDIHCAMQABiABDIHCAQQABiABDIHCAUQABiABDIHCAYQABiABDIHCAcQABiABDIHCAgQABiABDIHCAkQABiABNIBCDIyNTVqMGo3qAIAsAIA&amp;sourceid=chrome&amp;ie=UTF-8&amp;ved=2ahUKEwjPzo2039iTAxWGQVUIHS20LokQgK4QegYIAQgAEAg"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 xml:space="preserve">Total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Addressable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Market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)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532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Весь верифицированный рынок операций с недвижимостью РК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184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~₸12 трлн (~$26 млрд)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55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Строительство жилья ₸3,2 трлн (БНС, 2023) + купля-продажа ~₸7 трлн (370,6 тыс. сделок × ср. стоимость ₸18,1 млн, НБРК) + наблюдаемый сектор аренды и операций с недвижимостью ₸1,8 трлн (БНС)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ffffff"/>
            <w:tcMar>
              <w:left w:w="150" w:type="dxa"/>
              <w:top w:w="80" w:type="dxa"/>
              <w:right w:w="150" w:type="dxa"/>
              <w:bottom w:w="80" w:type="dxa"/>
            </w:tcMar>
            <w:tcW w:w="2087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SAM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(</w:t>
            </w: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Serviceable Available Market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fffff"/>
            <w:tcMar>
              <w:left w:w="150" w:type="dxa"/>
              <w:top w:w="80" w:type="dxa"/>
              <w:right w:w="150" w:type="dxa"/>
              <w:bottom w:w="80" w:type="dxa"/>
            </w:tcMar>
            <w:tcW w:w="2532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Доступный объем рынка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fffff"/>
            <w:tcMar>
              <w:left w:w="150" w:type="dxa"/>
              <w:top w:w="80" w:type="dxa"/>
              <w:right w:w="150" w:type="dxa"/>
              <w:bottom w:w="80" w:type="dxa"/>
            </w:tcMar>
            <w:tcW w:w="184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~₸3,0-3,5 трлн (~$6,5-7,5 млрд)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ffffff"/>
            <w:tcMar>
              <w:left w:w="150" w:type="dxa"/>
              <w:top w:w="80" w:type="dxa"/>
              <w:right w:w="150" w:type="dxa"/>
              <w:bottom w:w="80" w:type="dxa"/>
            </w:tcMar>
            <w:tcW w:w="255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~25-30% TAM: ипотечный портфель ₸1,6 трлн новых выдач + доля сделок купли-продажи с цифровым сопровождением + потенциально легализуемый сегмент аренды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087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SOM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(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Serviceable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Obtainable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Market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532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Реально достижимый объем рынка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1849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₸210-280 млрд - 7-8% SAM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5fb"/>
            <w:tcMar>
              <w:left w:w="150" w:type="dxa"/>
              <w:top w:w="80" w:type="dxa"/>
              <w:right w:w="150" w:type="dxa"/>
              <w:bottom w:w="80" w:type="dxa"/>
            </w:tcMar>
            <w:tcW w:w="2558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2027 г - ₸15-30 млрд - 0,5-1% </w:t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2029 г - ₸90-120 млрд - 3-4% </w:t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2031 г - ₸210-280 млрд - 7-8% 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firstLine="567"/>
        <w:jc w:val="both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</w:r>
      <w:r>
        <w:rPr>
          <w:color w:val="000000" w:themeColor="text1"/>
          <w:sz w:val="24"/>
          <w:szCs w:val="24"/>
          <w:lang w:val="en-US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 xml:space="preserve">Ключевой вывод: даже при захвате 0,5% </w:t>
      </w:r>
      <w:r>
        <w:rPr>
          <w:i/>
          <w:iCs/>
          <w:color w:val="000000" w:themeColor="text1"/>
          <w:sz w:val="24"/>
          <w:szCs w:val="24"/>
        </w:rPr>
        <w:t xml:space="preserve">PropTech</w:t>
      </w:r>
      <w:r>
        <w:rPr>
          <w:i/>
          <w:iCs/>
          <w:color w:val="000000" w:themeColor="text1"/>
          <w:sz w:val="24"/>
          <w:szCs w:val="24"/>
        </w:rPr>
        <w:t xml:space="preserve">-адресуемого рынка в первый год объем выручки составит ₸15-30 млрд. При достижении 7-8% к 2031 году - ₸210-280 млрд. Это консервативный сценарий, соответствующий глобальным </w:t>
      </w:r>
      <w:r>
        <w:rPr>
          <w:i/>
          <w:iCs/>
          <w:color w:val="000000" w:themeColor="text1"/>
          <w:sz w:val="24"/>
          <w:szCs w:val="24"/>
        </w:rPr>
        <w:t xml:space="preserve">бенчмаркам</w:t>
      </w:r>
      <w:r>
        <w:rPr>
          <w:i/>
          <w:iCs/>
          <w:color w:val="000000" w:themeColor="text1"/>
          <w:sz w:val="24"/>
          <w:szCs w:val="24"/>
        </w:rPr>
        <w:t xml:space="preserve">: ведущие </w:t>
      </w:r>
      <w:r>
        <w:rPr>
          <w:i/>
          <w:iCs/>
          <w:color w:val="000000" w:themeColor="text1"/>
          <w:sz w:val="24"/>
          <w:szCs w:val="24"/>
        </w:rPr>
        <w:t xml:space="preserve">PropTech</w:t>
      </w:r>
      <w:r>
        <w:rPr>
          <w:i/>
          <w:iCs/>
          <w:color w:val="000000" w:themeColor="text1"/>
          <w:sz w:val="24"/>
          <w:szCs w:val="24"/>
        </w:rPr>
        <w:t xml:space="preserve">-платформы</w:t>
      </w:r>
      <w:r>
        <w:rPr>
          <w:i/>
          <w:iCs/>
          <w:color w:val="000000" w:themeColor="text1"/>
          <w:sz w:val="24"/>
          <w:szCs w:val="24"/>
        </w:rPr>
        <w:t xml:space="preserve"> выходя</w:t>
      </w:r>
      <w:r>
        <w:rPr>
          <w:i/>
          <w:iCs/>
          <w:color w:val="000000" w:themeColor="text1"/>
          <w:sz w:val="24"/>
          <w:szCs w:val="24"/>
        </w:rPr>
        <w:t xml:space="preserve">т на 5-10% SAM через 5-7 лет с момента запуска. При этом значительная часть рынка операций с недвижимостью - ремонт, нотариат, страхование, управление объектами - сегодня не оцифрована и формирует дополнительный потенциал роста сверх верифицированного TAM.</w:t>
      </w:r>
      <w:r>
        <w:rPr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Казахстанский рынок недвижимости сегодня находится в уникальной точке, где накопленные десятилетиями макроэкономические дисбалансы сталкиваются с амбициозным проектом государственного масштаба </w:t>
      </w:r>
      <w:r>
        <w:rPr>
          <w:rFonts w:ascii="Arial" w:hAnsi="Arial" w:cs="Arial"/>
          <w:lang w:val="ru-RU"/>
        </w:rPr>
        <w:t xml:space="preserve">-</w:t>
      </w:r>
      <w:r>
        <w:rPr>
          <w:rFonts w:ascii="Arial" w:hAnsi="Arial" w:cs="Arial"/>
        </w:rPr>
        <w:t xml:space="preserve"> Alatau City. Именно здесь на стыке макроэкономического давления, демографических ожиданий населения и особого правового статуса </w:t>
      </w:r>
      <w:r>
        <w:rPr>
          <w:rFonts w:ascii="Arial" w:hAnsi="Arial" w:cs="Arial"/>
          <w:lang w:val="en-US"/>
        </w:rPr>
        <w:t xml:space="preserve">Alatau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 xml:space="preserve">C</w:t>
      </w:r>
      <w:r>
        <w:rPr>
          <w:rFonts w:ascii="Arial" w:hAnsi="Arial" w:cs="Arial"/>
          <w:lang w:val="en-US"/>
        </w:rPr>
        <w:t xml:space="preserve">ity</w:t>
      </w:r>
      <w:r>
        <w:rPr>
          <w:rFonts w:ascii="Arial" w:hAnsi="Arial" w:cs="Arial"/>
        </w:rPr>
        <w:t xml:space="preserve">, формируется </w:t>
      </w:r>
      <w:r>
        <w:rPr>
          <w:rFonts w:ascii="Arial" w:hAnsi="Arial" w:cs="Arial"/>
          <w:lang w:val="ru-RU"/>
        </w:rPr>
        <w:t xml:space="preserve">окно возможностей </w:t>
      </w:r>
      <w:r>
        <w:rPr>
          <w:rFonts w:ascii="Arial" w:hAnsi="Arial" w:cs="Arial"/>
        </w:rPr>
        <w:t xml:space="preserve">для реализации стратегии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n-US"/>
        </w:rPr>
        <w:t xml:space="preserve">Proptech</w:t>
      </w:r>
      <w:r>
        <w:rPr>
          <w:rFonts w:ascii="Arial" w:hAnsi="Arial" w:cs="Arial"/>
          <w:lang w:val="ru-RU"/>
        </w:rPr>
        <w:t xml:space="preserve">.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Важно, что р</w:t>
      </w:r>
      <w:r>
        <w:rPr>
          <w:rFonts w:ascii="Arial" w:hAnsi="Arial" w:cs="Arial"/>
        </w:rPr>
        <w:t xml:space="preserve">еализация стратегии опирается</w:t>
      </w:r>
      <w:r>
        <w:rPr>
          <w:rFonts w:ascii="Arial" w:hAnsi="Arial" w:cs="Arial"/>
          <w:lang w:val="ru-RU"/>
        </w:rPr>
        <w:t xml:space="preserve"> в том числе</w:t>
      </w:r>
      <w:r>
        <w:rPr>
          <w:rFonts w:ascii="Arial" w:hAnsi="Arial" w:cs="Arial"/>
        </w:rPr>
        <w:t xml:space="preserve"> на две фундаментальные предпосылки, которые задают масштаб проекта и определяют его критическую важность. Эти факторы формируют уровень ожиданий, который невозможно игнорировать.</w:t>
      </w:r>
      <w:r>
        <w:rPr>
          <w:rFonts w:ascii="Arial" w:hAnsi="Arial" w:cs="Arial"/>
        </w:rPr>
      </w:r>
    </w:p>
    <w:p>
      <w:pPr>
        <w:pStyle w:val="689"/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689"/>
        <w:ind w:firstLine="567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Предпосылка 1: </w:t>
      </w:r>
      <w:r>
        <w:rPr>
          <w:b/>
          <w:color w:val="000000" w:themeColor="text1"/>
          <w:sz w:val="24"/>
          <w:szCs w:val="24"/>
        </w:rPr>
        <w:t xml:space="preserve">Alatau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 xml:space="preserve">City</w:t>
      </w:r>
      <w:r>
        <w:rPr>
          <w:b/>
          <w:color w:val="000000" w:themeColor="text1"/>
          <w:sz w:val="24"/>
          <w:szCs w:val="24"/>
        </w:rPr>
        <w:t xml:space="preserve"> как государственный приоритет с уникальным правовым статусом</w:t>
      </w:r>
      <w:r>
        <w:rPr>
          <w:b/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Проект Alatau City </w:t>
      </w:r>
      <w:r>
        <w:rPr>
          <w:rFonts w:ascii="Arial" w:hAnsi="Arial" w:cs="Arial"/>
          <w:lang w:val="ru-RU"/>
        </w:rPr>
        <w:t xml:space="preserve">на высшем политическом уровне обозначен как </w:t>
      </w:r>
      <w:r>
        <w:rPr>
          <w:rFonts w:ascii="Arial" w:hAnsi="Arial" w:cs="Arial"/>
        </w:rPr>
        <w:t xml:space="preserve">стратегический государственный приоритет. Принятый в марте 2026 года Конституционный закон «О специальном статусе города Алатау» заложил беспрецедентный для региона правовой фундамент. В частности, стать</w:t>
      </w:r>
      <w:r>
        <w:rPr>
          <w:rFonts w:ascii="Arial" w:hAnsi="Arial" w:cs="Arial"/>
          <w:lang w:val="ru-RU"/>
        </w:rPr>
        <w:t xml:space="preserve">я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  <w:lang w:val="ru-RU"/>
        </w:rPr>
        <w:t xml:space="preserve">2</w:t>
      </w:r>
      <w:r>
        <w:rPr>
          <w:rFonts w:ascii="Arial" w:hAnsi="Arial" w:cs="Arial"/>
        </w:rPr>
        <w:t xml:space="preserve"> де-юре закрепля</w:t>
      </w:r>
      <w:r>
        <w:rPr>
          <w:rFonts w:ascii="Arial" w:hAnsi="Arial" w:cs="Arial"/>
          <w:lang w:val="ru-RU"/>
        </w:rPr>
        <w:t xml:space="preserve">е</w:t>
      </w:r>
      <w:r>
        <w:rPr>
          <w:rFonts w:ascii="Arial" w:hAnsi="Arial" w:cs="Arial"/>
        </w:rPr>
        <w:t xml:space="preserve">т переход к модели </w:t>
      </w:r>
      <w:r>
        <w:rPr>
          <w:rFonts w:ascii="Arial" w:hAnsi="Arial" w:cs="Arial"/>
          <w:b/>
          <w:bCs/>
        </w:rPr>
        <w:t xml:space="preserve">Digital by default</w:t>
      </w:r>
      <w:r>
        <w:rPr>
          <w:rFonts w:ascii="Arial" w:hAnsi="Arial" w:cs="Arial"/>
        </w:rPr>
        <w:t xml:space="preserve">, легализуя использование смарт-контрактов и блокчейн-регистрации прав собственности.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Правовая определенность Alatau City сопоставима с ведущими мировыми хабами, такими как Дубай. Налоговая автономность, гарантированная до 2050 года, и защита инвестиц</w:t>
      </w:r>
      <w:r>
        <w:rPr>
          <w:rFonts w:ascii="Arial" w:hAnsi="Arial" w:cs="Arial"/>
        </w:rPr>
        <w:t xml:space="preserve">ий в рамках английского права (через суд МФЦА и международный арбитраж) создают идеальные условия для притока капиталов. Прямой патронаж Главы государства формирует политическое «окно возможностей», требующее немедленных действий. Важно отметить, что стать</w:t>
      </w:r>
      <w:r>
        <w:rPr>
          <w:rFonts w:ascii="Arial" w:hAnsi="Arial" w:cs="Arial"/>
          <w:lang w:val="ru-RU"/>
        </w:rPr>
        <w:t xml:space="preserve">я</w:t>
      </w:r>
      <w:r>
        <w:rPr>
          <w:rFonts w:ascii="Arial" w:hAnsi="Arial" w:cs="Arial"/>
        </w:rPr>
        <w:t xml:space="preserve"> 50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 xml:space="preserve">закона созда</w:t>
      </w:r>
      <w:r>
        <w:rPr>
          <w:rFonts w:ascii="Arial" w:hAnsi="Arial" w:cs="Arial"/>
          <w:lang w:val="ru-RU"/>
        </w:rPr>
        <w:t xml:space="preserve">е</w:t>
      </w:r>
      <w:r>
        <w:rPr>
          <w:rFonts w:ascii="Arial" w:hAnsi="Arial" w:cs="Arial"/>
        </w:rPr>
        <w:t xml:space="preserve">т четкую рамку, позволяющую резидентам Алатау </w:t>
      </w:r>
      <w:r>
        <w:rPr>
          <w:rFonts w:ascii="Arial" w:hAnsi="Arial" w:cs="Arial"/>
        </w:rPr>
        <w:t xml:space="preserve">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 xml:space="preserve">проводить операции с цифровыми активами, банки вправе создавать дочернюю структуру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  <w:lang w:val="ru-RU"/>
        </w:rPr>
        <w:t xml:space="preserve">В статье 60 </w:t>
      </w:r>
      <w:r>
        <w:rPr>
          <w:rFonts w:ascii="Arial" w:hAnsi="Arial" w:cs="Arial"/>
        </w:rPr>
        <w:t xml:space="preserve">блокчейн-кадастр прав на недвижимость закрепл</w:t>
      </w:r>
      <w:r>
        <w:rPr>
          <w:rFonts w:ascii="Arial" w:hAnsi="Arial" w:cs="Arial"/>
          <w:lang w:val="ru-RU"/>
        </w:rPr>
        <w:t xml:space="preserve">е</w:t>
      </w:r>
      <w:r>
        <w:rPr>
          <w:rFonts w:ascii="Arial" w:hAnsi="Arial" w:cs="Arial"/>
        </w:rPr>
        <w:t xml:space="preserve">н законодательно</w:t>
      </w:r>
      <w:r>
        <w:rPr>
          <w:rFonts w:ascii="Arial" w:hAnsi="Arial" w:cs="Arial"/>
          <w:lang w:val="ru-RU"/>
        </w:rPr>
        <w:t xml:space="preserve">.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 xml:space="preserve">Все э</w:t>
      </w:r>
      <w:r>
        <w:rPr>
          <w:rFonts w:ascii="Arial" w:hAnsi="Arial" w:cs="Arial"/>
        </w:rPr>
        <w:t xml:space="preserve">то открывает перед </w:t>
      </w:r>
      <w:r>
        <w:rPr>
          <w:rFonts w:ascii="Arial" w:hAnsi="Arial" w:cs="Arial"/>
          <w:b/>
          <w:bCs/>
        </w:rPr>
        <w:t xml:space="preserve">Alatau City Bank (ACB)</w:t>
      </w:r>
      <w:r>
        <w:rPr>
          <w:rFonts w:ascii="Arial" w:hAnsi="Arial" w:cs="Arial"/>
        </w:rPr>
        <w:t xml:space="preserve"> уникальную возможность стать первым игроком, занявшим эту технологическую нишу.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689"/>
        <w:ind w:firstLine="567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Предпосылка 2: Зрелость рынка и готовность к </w:t>
      </w:r>
      <w:r>
        <w:rPr>
          <w:b/>
          <w:color w:val="000000" w:themeColor="text1"/>
          <w:sz w:val="24"/>
          <w:szCs w:val="24"/>
        </w:rPr>
        <w:t xml:space="preserve">PropTech</w:t>
      </w:r>
      <w:r>
        <w:rPr>
          <w:b/>
          <w:color w:val="000000" w:themeColor="text1"/>
          <w:sz w:val="24"/>
          <w:szCs w:val="24"/>
        </w:rPr>
        <w:t xml:space="preserve">-революции</w:t>
      </w:r>
      <w:r>
        <w:rPr>
          <w:b/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Второй важнейший фактор 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 это сформировавшийся в масштабах всей страны запрос на технологическую трансформацию рынка недвижимости.</w:t>
      </w:r>
      <w:r>
        <w:rPr>
          <w:rFonts w:ascii="Arial" w:hAnsi="Arial" w:cs="Arial"/>
        </w:rPr>
      </w:r>
    </w:p>
    <w:p>
      <w:pPr>
        <w:pStyle w:val="705"/>
        <w:numPr>
          <w:ilvl w:val="0"/>
          <w:numId w:val="6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Социальный запрос:</w:t>
      </w:r>
      <w:r>
        <w:rPr>
          <w:rFonts w:ascii="Arial" w:hAnsi="Arial" w:cs="Arial"/>
        </w:rPr>
        <w:t xml:space="preserve"> Цифры подтверждают остроту проблемы 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 47% населения Казахстана связывают свои жизненные планы с решением жилищного вопроса и ожидают появления новых, более доступных инструментов.</w:t>
      </w:r>
      <w:r>
        <w:rPr>
          <w:rFonts w:ascii="Arial" w:hAnsi="Arial" w:cs="Arial"/>
        </w:rPr>
      </w:r>
    </w:p>
    <w:p>
      <w:pPr>
        <w:pStyle w:val="705"/>
        <w:numPr>
          <w:ilvl w:val="0"/>
          <w:numId w:val="6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Регуляторная готовность:</w:t>
      </w:r>
      <w:r>
        <w:rPr>
          <w:rFonts w:ascii="Arial" w:hAnsi="Arial" w:cs="Arial"/>
        </w:rPr>
        <w:t xml:space="preserve"> Государственные институты уже демонстрируют высокую степень зрелости. Запуск Национальным Банком РК в феврале 2026 года пилотного проекта по токенизации коммерческой недвижимости подтверждает, что регуляторные шлюзы для PropTech открыты.</w:t>
      </w:r>
      <w:r>
        <w:rPr>
          <w:rFonts w:ascii="Arial" w:hAnsi="Arial" w:cs="Arial"/>
        </w:rPr>
      </w:r>
    </w:p>
    <w:p>
      <w:pPr>
        <w:pStyle w:val="705"/>
        <w:numPr>
          <w:ilvl w:val="0"/>
          <w:numId w:val="6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Стратегическое значение:</w:t>
      </w:r>
      <w:r>
        <w:rPr>
          <w:rFonts w:ascii="Arial" w:hAnsi="Arial" w:cs="Arial"/>
        </w:rPr>
        <w:t xml:space="preserve"> Оцифровка рынка недвижимости имеет критическое значение для государства в рамках борьбы с «серой» экономикой. Сектор с годовым оборотом в 12 трлн тенге остается одним из самых непрозрачных. Перевод тран</w:t>
      </w:r>
      <w:r>
        <w:rPr>
          <w:rFonts w:ascii="Arial" w:hAnsi="Arial" w:cs="Arial"/>
        </w:rPr>
        <w:t xml:space="preserve">закций в цифровую среду (через блокчейн, смарт-контракты и платформенные решения) позволяет государству вывести из тени колоссальные денежные потоки, обеспечить налоговую прозрачность и получить достоверные данные для социально-экономического планирования.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Сочетание жесткого законодательного мандата в Alatau City, созревшего рыночно</w:t>
      </w:r>
      <w:r>
        <w:rPr>
          <w:rFonts w:ascii="Arial" w:hAnsi="Arial" w:cs="Arial"/>
        </w:rPr>
        <w:t xml:space="preserve">го спроса и прямого интереса государства в ликвидации «серых» схем создало идеальный момент для перехода от деклараций к практической реализации стратегии. Промедление в этой точке означает потерю контроля над крупнейшим нецифровизированным активом страны.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lang w:val="ru-RU"/>
        </w:rPr>
        <w:t xml:space="preserve">А</w:t>
      </w:r>
      <w:r>
        <w:rPr>
          <w:rFonts w:ascii="Arial" w:hAnsi="Arial" w:cs="Arial"/>
        </w:rPr>
        <w:t xml:space="preserve">нализ макроэкономической среды и исключительных законодательных преференций Alatau City приводит к однозначному выводу: внешние условия для технологического прорыва созрели.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Однако в этой конфигурации успех стратегии теперь </w:t>
      </w:r>
      <w:r>
        <w:rPr>
          <w:rFonts w:ascii="Arial" w:hAnsi="Arial" w:cs="Arial"/>
          <w:b/>
          <w:bCs/>
        </w:rPr>
        <w:t xml:space="preserve">зависит не от внешних факторов, а от способности самой экосистемы инвестора к внутренней мобилизации</w:t>
      </w:r>
      <w:r>
        <w:rPr>
          <w:rFonts w:ascii="Arial" w:hAnsi="Arial" w:cs="Arial"/>
        </w:rPr>
        <w:t xml:space="preserve">. В распоряжении </w:t>
      </w:r>
      <w:r>
        <w:rPr>
          <w:rFonts w:ascii="Arial" w:hAnsi="Arial" w:cs="Arial"/>
          <w:lang w:val="ru-RU"/>
        </w:rPr>
        <w:t xml:space="preserve">инвестора </w:t>
      </w:r>
      <w:r>
        <w:rPr>
          <w:rFonts w:ascii="Arial" w:hAnsi="Arial" w:cs="Arial"/>
        </w:rPr>
        <w:t xml:space="preserve">уже находится уникальный набор инструментов, каждый из которых по отдельности является лидером в своем сегменте и обладает накопленной экспертизой, недоступной конкурентам.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right"/>
        <w:spacing w:before="0" w:beforeAutospacing="0" w:after="0" w:afterAutospacing="0"/>
        <w:rPr>
          <w:rFonts w:ascii="Arial" w:hAnsi="Arial" w:cs="Arial"/>
          <w:i/>
          <w:lang w:val="ru-RU"/>
        </w:rPr>
      </w:pPr>
      <w:r>
        <w:rPr>
          <w:rFonts w:ascii="Arial" w:hAnsi="Arial" w:cs="Arial"/>
          <w:i/>
          <w:lang w:val="ru-RU"/>
        </w:rPr>
        <w:t xml:space="preserve">Таблица 4. </w:t>
      </w:r>
      <w:r>
        <w:rPr>
          <w:rFonts w:ascii="Arial" w:hAnsi="Arial" w:cs="Arial"/>
          <w:i/>
          <w:lang w:val="ru-RU"/>
        </w:rPr>
        <w:t xml:space="preserve">Основные активы периметра группы</w:t>
      </w:r>
      <w:r>
        <w:rPr>
          <w:rFonts w:ascii="Arial" w:hAnsi="Arial" w:cs="Arial"/>
          <w:i/>
          <w:lang w:val="ru-RU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>
        <w:tblPrEx/>
        <w:trPr/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Актив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2e6da4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Роль в экосистеме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PropTech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ACB (капитал 1 трлн+ тенге, k2=28% - втрое выше норматива)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Финансовый хребет: ипотека, эскроу, проектное финансирование, токенизация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Krisha.kz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Крупнейший потребительский трафик - точка входа в жизненный цикл жилья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Alseco</w:t>
            </w:r>
            <w:r>
              <w:rPr>
                <w:color w:val="000000" w:themeColor="text1"/>
                <w:sz w:val="24"/>
                <w:szCs w:val="24"/>
              </w:rPr>
              <w:t xml:space="preserve"> + ЕРЦ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ebf3fa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Контроль над ежедневными платежами ЖКУ - ключ к монетизации через сервис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JMart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E-</w:t>
            </w:r>
            <w:r>
              <w:rPr>
                <w:color w:val="000000" w:themeColor="text1"/>
                <w:sz w:val="24"/>
                <w:szCs w:val="24"/>
              </w:rPr>
              <w:t xml:space="preserve">commerce</w:t>
            </w:r>
            <w:r>
              <w:rPr>
                <w:color w:val="000000" w:themeColor="text1"/>
                <w:sz w:val="24"/>
                <w:szCs w:val="24"/>
              </w:rPr>
              <w:t xml:space="preserve"> компетенции для выпуска платформенных моделей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Everest Development</w:t>
            </w:r>
            <w:r>
              <w:rPr>
                <w:color w:val="000000" w:themeColor="text1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d0e4f5"/>
            <w:tcBorders>
              <w:top w:val="single" w:color="AECDE8" w:sz="1" w:space="0"/>
              <w:left w:val="single" w:color="AECDE8" w:sz="1" w:space="0"/>
              <w:bottom w:val="single" w:color="AECDE8" w:sz="1" w:space="0"/>
              <w:right w:val="single" w:color="AECDE8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4513" w:type="dxa"/>
            <w:textDirection w:val="lrTb"/>
            <w:noWrap w:val="false"/>
          </w:tcPr>
          <w:p>
            <w:p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Строительная инфраструктура – важный элемент для </w:t>
            </w:r>
            <w:r>
              <w:rPr>
                <w:color w:val="000000" w:themeColor="text1"/>
                <w:sz w:val="24"/>
                <w:szCs w:val="24"/>
                <w:lang w:val="en-US"/>
              </w:rPr>
              <w:t xml:space="preserve">Contech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lang w:val="ru-RU"/>
        </w:rPr>
      </w:pPr>
      <w:r>
        <w:rPr>
          <w:rFonts w:ascii="Arial" w:hAnsi="Arial" w:cs="Arial"/>
        </w:rPr>
        <w:t xml:space="preserve">Но парадокс ситуации заключается в том, что наличие всех необходимых «органов» еще не гарантирует жизнеспособность организма, если между ними </w:t>
      </w:r>
      <w:r>
        <w:rPr>
          <w:rFonts w:ascii="Arial" w:hAnsi="Arial" w:cs="Arial"/>
        </w:rPr>
        <w:t xml:space="preserve">не выстроены </w:t>
      </w:r>
      <w:r>
        <w:rPr>
          <w:rFonts w:ascii="Arial" w:hAnsi="Arial" w:cs="Arial"/>
          <w:lang w:val="ru-RU"/>
        </w:rPr>
        <w:t xml:space="preserve">связи</w:t>
      </w:r>
      <w:r>
        <w:rPr>
          <w:rFonts w:ascii="Arial" w:hAnsi="Arial" w:cs="Arial"/>
        </w:rPr>
        <w:t xml:space="preserve">. Чтобы понять, почему при наличии идеальных вводных проект вс</w:t>
      </w:r>
      <w:r>
        <w:rPr>
          <w:rFonts w:ascii="Arial" w:hAnsi="Arial" w:cs="Arial"/>
        </w:rPr>
        <w:t xml:space="preserve">е</w:t>
      </w:r>
      <w:r>
        <w:rPr>
          <w:rFonts w:ascii="Arial" w:hAnsi="Arial" w:cs="Arial"/>
        </w:rPr>
        <w:t xml:space="preserve"> еще остается в фазе концепции, необходимо перейти от анализа рыночных возможностей к детальному аудиту систем, находящихся непосредственно в периметре группы</w:t>
      </w:r>
      <w:r>
        <w:rPr>
          <w:rFonts w:ascii="Arial" w:hAnsi="Arial" w:cs="Arial"/>
          <w:lang w:val="ru-RU"/>
        </w:rPr>
        <w:t xml:space="preserve"> (таблица 4):  </w:t>
      </w:r>
      <w:r>
        <w:rPr>
          <w:rFonts w:ascii="Arial" w:hAnsi="Arial" w:cs="Arial"/>
          <w:lang w:val="ru-RU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b/>
          <w:lang w:val="ru-RU"/>
        </w:rPr>
        <w:t xml:space="preserve">Первое.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 xml:space="preserve">Главным внутренним барьером является тот факт, что </w:t>
      </w:r>
      <w:r>
        <w:rPr>
          <w:rFonts w:ascii="Arial" w:hAnsi="Arial" w:cs="Arial"/>
          <w:b/>
          <w:bCs/>
          <w:lang w:val="ru-RU"/>
        </w:rPr>
        <w:t xml:space="preserve">АСБ</w:t>
      </w:r>
      <w:r>
        <w:rPr>
          <w:rFonts w:ascii="Arial" w:hAnsi="Arial" w:cs="Arial"/>
          <w:b/>
          <w:bCs/>
        </w:rPr>
        <w:t xml:space="preserve"> на текущем этапе не способен выступить драйвером рыночной трансформации, так как сам нуждается в глубоком структурном обновлении</w:t>
      </w:r>
      <w:r>
        <w:rPr>
          <w:rFonts w:ascii="Arial" w:hAnsi="Arial" w:cs="Arial"/>
        </w:rPr>
        <w:t xml:space="preserve">. Внутренняя архитектура и логика принятия решений остаются заложниками старых парадигм, где любое качественное изменение воспринимается как угроза операционной устойч</w:t>
      </w:r>
      <w:r>
        <w:rPr>
          <w:rFonts w:ascii="Arial" w:hAnsi="Arial" w:cs="Arial"/>
        </w:rPr>
        <w:t xml:space="preserve">ивости. Для перехода в роль лидера организации необходимо сначала преодолеть собственный «иммунитет» к инновациям: банк не может трансформировать 12-триллионную отрасль, пока его собственные процессы и корпоративная культура остаются частью старой системы.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Важнейшим аспектом </w:t>
      </w:r>
      <w:r>
        <w:rPr>
          <w:rFonts w:ascii="Arial" w:hAnsi="Arial" w:cs="Arial"/>
          <w:b/>
          <w:bCs/>
        </w:rPr>
        <w:t xml:space="preserve">этого внутреннего торможения является психология «зоны комфорта» на уровне руководства</w:t>
      </w:r>
      <w:r>
        <w:rPr>
          <w:rFonts w:ascii="Arial" w:hAnsi="Arial" w:cs="Arial"/>
        </w:rPr>
        <w:t xml:space="preserve">. Текущее стабильн</w:t>
      </w:r>
      <w:r>
        <w:rPr>
          <w:rFonts w:ascii="Arial" w:hAnsi="Arial" w:cs="Arial"/>
        </w:rPr>
        <w:t xml:space="preserve">ое пятое место в рейтинге банков РК зачастую воспринимается как максимальное достижение и конечная точка роста, хотя в реальности оно является лишь потолком, ограничивающим амбиции. Это провоцирует восприятие внешних сложностей как непреодолимых барьеров. </w:t>
      </w:r>
      <w:r>
        <w:rPr>
          <w:rFonts w:ascii="Arial" w:hAnsi="Arial" w:cs="Arial"/>
          <w:b/>
          <w:bCs/>
        </w:rPr>
        <w:t xml:space="preserve">В частности, приверженность застройщиков «серому» рынку (68% сделок) ошибочно позиционируется как фундаментальное препятствие для внедрения PropTech</w:t>
      </w:r>
      <w:r>
        <w:rPr>
          <w:rFonts w:ascii="Arial" w:hAnsi="Arial" w:cs="Arial"/>
        </w:rPr>
        <w:t xml:space="preserve">. Вместо того чтобы проактивно проектировать новую среду и предлагать девелоперам стратегию «встречной выгоды», руководство предпочитает занимать пассивную позицию наблюдателя, считая неготовность рынка оправданием собственной инертности.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Наконец, наиболее опасным заблуждением остается «</w:t>
      </w:r>
      <w:r>
        <w:rPr>
          <w:rFonts w:ascii="Arial" w:hAnsi="Arial" w:cs="Arial"/>
          <w:lang w:val="ru-RU"/>
        </w:rPr>
        <w:t xml:space="preserve">иллюзия</w:t>
      </w:r>
      <w:r>
        <w:rPr>
          <w:rFonts w:ascii="Arial" w:hAnsi="Arial" w:cs="Arial"/>
        </w:rPr>
        <w:t xml:space="preserve"> конкуренции» с Отбасы банком. Попытка коммерческого банка соревноваться с государственным институтом на поле процентных ставок </w:t>
      </w:r>
      <w:r>
        <w:rPr>
          <w:rFonts w:ascii="Arial" w:hAnsi="Arial" w:cs="Arial"/>
        </w:rPr>
        <w:t xml:space="preserve">-</w:t>
      </w:r>
      <w:r>
        <w:rPr>
          <w:rFonts w:ascii="Arial" w:hAnsi="Arial" w:cs="Arial"/>
        </w:rPr>
        <w:t xml:space="preserve"> это стратегический тупик, продиктованный отсутствием долгосрочного видения. В то время как менеджмент видит в Отбасы банке системный барьер, который невозможно обойти, </w:t>
      </w:r>
      <w:r>
        <w:rPr>
          <w:rFonts w:ascii="Arial" w:hAnsi="Arial" w:cs="Arial"/>
          <w:b/>
          <w:bCs/>
        </w:rPr>
        <w:t xml:space="preserve">истинная возможность лежит в смене самой бизнес-модели</w:t>
      </w:r>
      <w:r>
        <w:rPr>
          <w:rFonts w:ascii="Arial" w:hAnsi="Arial" w:cs="Arial"/>
        </w:rPr>
        <w:t xml:space="preserve">. Необходимо перестать быть просто</w:t>
      </w:r>
      <w:r>
        <w:rPr>
          <w:rFonts w:ascii="Arial" w:hAnsi="Arial" w:cs="Arial"/>
        </w:rPr>
        <w:t xml:space="preserve"> ипотечным кредитором и стать оператором полного жизненного цикла недвижимости. В этой нише процентная ставка превращается из главного аргумента в лишь один из параметров сервиса, уступая место технологическому превосходству, скорости и бесшовности сделки </w:t>
      </w:r>
      <w:r>
        <w:rPr>
          <w:rFonts w:ascii="Arial" w:hAnsi="Arial" w:cs="Arial"/>
          <w:lang w:val="ru-RU"/>
        </w:rPr>
        <w:t xml:space="preserve">-</w:t>
      </w:r>
      <w:r>
        <w:rPr>
          <w:rFonts w:ascii="Arial" w:hAnsi="Arial" w:cs="Arial"/>
        </w:rPr>
        <w:t xml:space="preserve"> тем качествам, которые государственный монополист объективно не может предложить рынку.</w:t>
      </w:r>
      <w:r>
        <w:rPr>
          <w:rFonts w:ascii="Arial" w:hAnsi="Arial" w:cs="Arial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  <w:lang w:val="ru-RU"/>
        </w:rPr>
      </w:pPr>
      <w:r>
        <w:rPr>
          <w:rFonts w:ascii="Arial" w:hAnsi="Arial" w:cs="Arial"/>
          <w:b/>
          <w:lang w:val="ru-RU"/>
        </w:rPr>
        <w:t xml:space="preserve">Второе.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</w:rPr>
        <w:t xml:space="preserve">Сервис «Крыша.kz», обладающий колоссальной клиентской базой, на текущий момент лишен четкой стратегии развития. Вместо того чтобы стать центром PropTech-экосистемы, сервис рискует превратиться в «информационную свалку» из-за засилья фе</w:t>
      </w:r>
      <w:r>
        <w:rPr>
          <w:rFonts w:ascii="Arial" w:hAnsi="Arial" w:cs="Arial"/>
        </w:rPr>
        <w:t xml:space="preserve">йковых объявлений и отсутствия верификации сделок. Без интеграции в полный цикл PropTech (от поиска до регистрации и эскроу-счетов) «Крыша.kz» теряет свою ценность, превращаясь из технологического лидера в уязвимый актив, который может быть легко вытеснен </w:t>
      </w:r>
      <w:r>
        <w:rPr>
          <w:rFonts w:ascii="Arial" w:hAnsi="Arial" w:cs="Arial"/>
          <w:lang w:val="ru-RU"/>
        </w:rPr>
        <w:t xml:space="preserve">при появлении экосистемного сервиса, который предложит не только поиск, но и все другие компоненты рыночных отношений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  <w:color w:val="000000" w:themeColor="text1"/>
          <w:lang w:val="ru-RU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Третье.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Разрозненные активы (банк, классифайды, ЖКУ-сервис</w:t>
      </w:r>
      <w:r>
        <w:rPr>
          <w:color w:val="000000" w:themeColor="text1"/>
          <w:sz w:val="24"/>
          <w:szCs w:val="24"/>
        </w:rPr>
        <w:t xml:space="preserve">ы, строительные компании</w:t>
      </w:r>
      <w:r>
        <w:rPr>
          <w:color w:val="000000" w:themeColor="text1"/>
          <w:sz w:val="24"/>
          <w:szCs w:val="24"/>
        </w:rPr>
        <w:t xml:space="preserve">) не объединены в единую цепочку создания стоимости - потенциал «бесшовного» пути клиента </w:t>
      </w:r>
      <w:r>
        <w:rPr>
          <w:color w:val="000000" w:themeColor="text1"/>
          <w:sz w:val="24"/>
          <w:szCs w:val="24"/>
        </w:rPr>
        <w:t xml:space="preserve">нереализован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Работа по </w:t>
      </w:r>
      <w:r>
        <w:rPr>
          <w:b/>
          <w:bCs/>
          <w:color w:val="000000" w:themeColor="text1"/>
          <w:sz w:val="24"/>
          <w:szCs w:val="24"/>
        </w:rPr>
        <w:t xml:space="preserve">объединению технологических компонентов в </w:t>
      </w:r>
      <w:r>
        <w:rPr>
          <w:b/>
          <w:bCs/>
          <w:color w:val="000000" w:themeColor="text1"/>
          <w:sz w:val="24"/>
          <w:szCs w:val="24"/>
        </w:rPr>
        <w:t xml:space="preserve">PropTech</w:t>
      </w:r>
      <w:r>
        <w:rPr>
          <w:b/>
          <w:bCs/>
          <w:color w:val="000000" w:themeColor="text1"/>
          <w:sz w:val="24"/>
          <w:szCs w:val="24"/>
        </w:rPr>
        <w:t xml:space="preserve">-платформу не ведется</w:t>
      </w:r>
      <w:r>
        <w:rPr>
          <w:color w:val="000000" w:themeColor="text1"/>
          <w:sz w:val="24"/>
          <w:szCs w:val="24"/>
        </w:rPr>
        <w:t xml:space="preserve"> - проект остается в формате концепции.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Вся эта совокупность факторов подтверждает: банк не может быть хедлайнером изменений, так как он сам является частью системы, которую нужно менять. </w:t>
      </w:r>
      <w:r>
        <w:rPr>
          <w:sz w:val="24"/>
          <w:szCs w:val="24"/>
        </w:rPr>
        <w:t xml:space="preserve">Экосистемные</w:t>
      </w:r>
      <w:r>
        <w:rPr>
          <w:sz w:val="24"/>
          <w:szCs w:val="24"/>
        </w:rPr>
        <w:t xml:space="preserve"> игроки (</w:t>
      </w:r>
      <w:r>
        <w:rPr>
          <w:sz w:val="24"/>
          <w:szCs w:val="24"/>
        </w:rPr>
        <w:t xml:space="preserve">Krisha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Alseco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JMart</w:t>
      </w:r>
      <w:r>
        <w:rPr>
          <w:sz w:val="24"/>
          <w:szCs w:val="24"/>
        </w:rPr>
        <w:t xml:space="preserve">) остаются замкнутыми в себе, а банк не имеет ни мандата, ни компетенций, чтобы их «сшить».</w:t>
      </w:r>
      <w:r>
        <w:rPr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Для нивелирования описанных рисков мы предлагаем </w:t>
      </w:r>
      <w:r>
        <w:rPr>
          <w:b/>
          <w:bCs/>
          <w:color w:val="000000" w:themeColor="text1"/>
          <w:sz w:val="24"/>
          <w:szCs w:val="24"/>
        </w:rPr>
        <w:t xml:space="preserve">вовлечение 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Sana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en-US"/>
        </w:rPr>
        <w:t xml:space="preserve">Holding</w:t>
      </w:r>
      <w:r>
        <w:rPr>
          <w:b/>
          <w:bCs/>
          <w:color w:val="000000" w:themeColor="text1"/>
          <w:sz w:val="24"/>
          <w:szCs w:val="24"/>
        </w:rPr>
        <w:t xml:space="preserve"> в процесс</w:t>
      </w:r>
      <w:r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 xml:space="preserve">фасилитаци</w:t>
      </w:r>
      <w:r>
        <w:rPr>
          <w:b/>
          <w:bCs/>
          <w:color w:val="000000" w:themeColor="text1"/>
          <w:sz w:val="24"/>
          <w:szCs w:val="24"/>
        </w:rPr>
        <w:t xml:space="preserve">и</w:t>
      </w:r>
      <w:r>
        <w:rPr>
          <w:color w:val="000000" w:themeColor="text1"/>
          <w:sz w:val="24"/>
          <w:szCs w:val="24"/>
        </w:rPr>
        <w:t xml:space="preserve">. Наше преимущество: мы не обременены банковской бюрократией, не имеем конфликта интересов с существующими подразделениями группы и нацелены исключительно на конечный результат.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На данном этапе, видится целесообразным выстраивание процесса фасилитации по двум стратегическим направлениям: 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1 </w:t>
      </w:r>
      <w:r>
        <w:rPr>
          <w:b/>
          <w:sz w:val="24"/>
          <w:szCs w:val="24"/>
        </w:rPr>
        <w:t xml:space="preserve">-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ConTech</w:t>
      </w:r>
      <w:r>
        <w:rPr>
          <w:b/>
          <w:sz w:val="24"/>
          <w:szCs w:val="24"/>
        </w:rPr>
        <w:t xml:space="preserve"> и </w:t>
      </w:r>
      <w:r>
        <w:rPr>
          <w:b/>
          <w:sz w:val="24"/>
          <w:szCs w:val="24"/>
        </w:rPr>
        <w:t xml:space="preserve">PropTech</w:t>
      </w:r>
      <w:r>
        <w:rPr>
          <w:b/>
          <w:sz w:val="24"/>
          <w:szCs w:val="24"/>
        </w:rPr>
        <w:t xml:space="preserve"> в </w:t>
      </w:r>
      <w:r>
        <w:rPr>
          <w:b/>
          <w:sz w:val="24"/>
          <w:szCs w:val="24"/>
        </w:rPr>
        <w:t xml:space="preserve">Alatau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City</w:t>
      </w:r>
      <w:r>
        <w:rPr>
          <w:b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Alatau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City</w:t>
      </w:r>
      <w:r>
        <w:rPr>
          <w:sz w:val="24"/>
          <w:szCs w:val="24"/>
        </w:rPr>
        <w:t xml:space="preserve"> должен стать технологической лабораторией и международной витриной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аналогом Дубая для Центральной Азии. Опыт Dubai Land Department доказывает: правильная цифровая инфраструктура превращает локальный рынок в глобальный инвестиционный продукт. Мы предлагаем:</w:t>
      </w:r>
      <w:r>
        <w:rPr>
          <w:sz w:val="24"/>
          <w:szCs w:val="24"/>
        </w:rPr>
      </w:r>
    </w:p>
    <w:p>
      <w:pPr>
        <w:pStyle w:val="697"/>
        <w:numPr>
          <w:ilvl w:val="0"/>
          <w:numId w:val="14"/>
        </w:numPr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Создание архитектуры технологического ядра застройки: цифровой кадастр, сквозной контроль строительства, стандарты индустриального домостроения, BIM-интеграция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Style w:val="697"/>
        <w:numPr>
          <w:ilvl w:val="0"/>
          <w:numId w:val="14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Перевод законодательных возможностей в работающие финансовые инструменты на базе ACB: смарт-контракты, блокчейн-регистрация прав, обязательное </w:t>
      </w:r>
      <w:r>
        <w:rPr>
          <w:color w:val="000000" w:themeColor="text1"/>
          <w:sz w:val="24"/>
          <w:szCs w:val="24"/>
        </w:rPr>
        <w:t xml:space="preserve">эскроу</w:t>
      </w:r>
      <w:r>
        <w:rPr>
          <w:color w:val="000000" w:themeColor="text1"/>
          <w:sz w:val="24"/>
          <w:szCs w:val="24"/>
        </w:rPr>
        <w:t xml:space="preserve"> для </w:t>
      </w:r>
      <w:r>
        <w:rPr>
          <w:color w:val="000000" w:themeColor="text1"/>
          <w:sz w:val="24"/>
          <w:szCs w:val="24"/>
        </w:rPr>
        <w:t xml:space="preserve">off-plan</w:t>
      </w:r>
      <w:r>
        <w:rPr>
          <w:color w:val="000000" w:themeColor="text1"/>
          <w:sz w:val="24"/>
          <w:szCs w:val="24"/>
        </w:rPr>
        <w:t xml:space="preserve"> проектов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pStyle w:val="697"/>
        <w:numPr>
          <w:ilvl w:val="0"/>
          <w:numId w:val="14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Удаленная верификация иностранных инвесторов: биометрическая идентификация, дистанционная регистрация сделок </w:t>
      </w:r>
      <w:r>
        <w:rPr>
          <w:color w:val="000000" w:themeColor="text1"/>
          <w:sz w:val="24"/>
          <w:szCs w:val="24"/>
        </w:rPr>
        <w:t xml:space="preserve">-</w:t>
      </w:r>
      <w:r>
        <w:rPr>
          <w:color w:val="000000" w:themeColor="text1"/>
          <w:sz w:val="24"/>
          <w:szCs w:val="24"/>
        </w:rPr>
        <w:t xml:space="preserve"> инструменты, которые в Дубае обеспечили рост сделок на 32% год к году</w:t>
      </w:r>
      <w:r>
        <w:rPr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pStyle w:val="697"/>
        <w:numPr>
          <w:ilvl w:val="0"/>
          <w:numId w:val="14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Токенизация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 xml:space="preserve">Iconic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 xml:space="preserve">Towers</w:t>
      </w:r>
      <w:r>
        <w:rPr>
          <w:color w:val="000000" w:themeColor="text1"/>
          <w:sz w:val="24"/>
          <w:szCs w:val="24"/>
        </w:rPr>
        <w:t xml:space="preserve"> – понятный инструмент для глобальных инвес</w:t>
      </w:r>
      <w:r>
        <w:rPr>
          <w:color w:val="000000" w:themeColor="text1"/>
          <w:sz w:val="24"/>
          <w:szCs w:val="24"/>
        </w:rPr>
        <w:t xml:space="preserve">т</w:t>
      </w:r>
      <w:r>
        <w:rPr>
          <w:color w:val="000000" w:themeColor="text1"/>
          <w:sz w:val="24"/>
          <w:szCs w:val="24"/>
        </w:rPr>
        <w:t xml:space="preserve">оров, а для </w:t>
      </w:r>
      <w:r>
        <w:rPr>
          <w:color w:val="000000" w:themeColor="text1"/>
          <w:sz w:val="24"/>
          <w:szCs w:val="24"/>
        </w:rPr>
        <w:t xml:space="preserve">стейкхолдеров</w:t>
      </w:r>
      <w:r>
        <w:rPr>
          <w:color w:val="000000" w:themeColor="text1"/>
          <w:sz w:val="24"/>
          <w:szCs w:val="24"/>
        </w:rPr>
        <w:t xml:space="preserve"> -</w:t>
      </w:r>
      <w:r>
        <w:rPr>
          <w:color w:val="000000" w:themeColor="text1"/>
          <w:sz w:val="24"/>
          <w:szCs w:val="24"/>
        </w:rPr>
        <w:t xml:space="preserve"> это важный инструмент монетизации и возврата инвестиций. </w:t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Реализация данного направления позволит трансформировать проект </w:t>
      </w:r>
      <w:r>
        <w:rPr>
          <w:sz w:val="24"/>
          <w:szCs w:val="24"/>
        </w:rPr>
        <w:t xml:space="preserve">Alatau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City</w:t>
      </w:r>
      <w:r>
        <w:rPr>
          <w:sz w:val="24"/>
          <w:szCs w:val="24"/>
        </w:rPr>
        <w:t xml:space="preserve"> из общих планов застройки в конкретную технологическую платформу, обеспечив предстоящий визит Главы государства в Южную Корею предметными инвестиционными офферами для технологических гигантов в сферах Smart City и модульного строительства.</w:t>
      </w:r>
      <w:r>
        <w:rPr>
          <w:sz w:val="24"/>
          <w:szCs w:val="24"/>
        </w:rPr>
      </w:r>
    </w:p>
    <w:p>
      <w:pPr>
        <w:pStyle w:val="697"/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2 </w:t>
      </w:r>
      <w:r>
        <w:rPr>
          <w:b/>
          <w:sz w:val="24"/>
          <w:szCs w:val="24"/>
        </w:rPr>
        <w:t xml:space="preserve">-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PropTech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в масштабах РК</w:t>
      </w:r>
      <w:r>
        <w:rPr>
          <w:b/>
          <w:sz w:val="24"/>
          <w:szCs w:val="24"/>
        </w:rPr>
      </w:r>
    </w:p>
    <w:p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Цель: создать первую </w:t>
      </w:r>
      <w:r>
        <w:rPr>
          <w:sz w:val="24"/>
          <w:szCs w:val="24"/>
        </w:rPr>
        <w:t xml:space="preserve">полноцикловую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PropTech</w:t>
      </w:r>
      <w:r>
        <w:rPr>
          <w:sz w:val="24"/>
          <w:szCs w:val="24"/>
        </w:rPr>
        <w:t xml:space="preserve">-платформу страны по модели </w:t>
      </w:r>
      <w:r>
        <w:rPr>
          <w:sz w:val="24"/>
          <w:szCs w:val="24"/>
        </w:rPr>
        <w:t xml:space="preserve">Домклик</w:t>
      </w:r>
      <w:r>
        <w:rPr>
          <w:sz w:val="24"/>
          <w:szCs w:val="24"/>
        </w:rPr>
        <w:t xml:space="preserve">, но с охватом всего жизненного цикла жилья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от первой мысли о покупке до ежедневной оплаты ЖКУ</w:t>
      </w:r>
      <w:r>
        <w:rPr>
          <w:sz w:val="24"/>
          <w:szCs w:val="24"/>
        </w:rPr>
        <w:t xml:space="preserve"> (в качестве объекта коротких продаж или ежедневных взаимодействий)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</w:p>
    <w:p>
      <w:pPr>
        <w:pStyle w:val="697"/>
        <w:numPr>
          <w:ilvl w:val="0"/>
          <w:numId w:val="16"/>
        </w:numPr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0" w:name="_GoBack"/>
      <w:r/>
      <w:bookmarkEnd w:id="0"/>
      <w:r>
        <w:rPr>
          <w:sz w:val="24"/>
          <w:szCs w:val="24"/>
        </w:rPr>
        <w:t xml:space="preserve">Трансформация Krisha.kz из «доски объявлений» в </w:t>
      </w:r>
      <w:r>
        <w:rPr>
          <w:sz w:val="24"/>
          <w:szCs w:val="24"/>
        </w:rPr>
        <w:t xml:space="preserve">Transaction-ready</w:t>
      </w:r>
      <w:r>
        <w:rPr>
          <w:sz w:val="24"/>
          <w:szCs w:val="24"/>
        </w:rPr>
        <w:t xml:space="preserve"> платформу с верификацией, эскроу и цифровыми сделками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</w:p>
    <w:p>
      <w:pPr>
        <w:pStyle w:val="697"/>
        <w:numPr>
          <w:ilvl w:val="0"/>
          <w:numId w:val="16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Создание сквозной финансовой архитектуры (СФА): единый путь клиента от поиска жилья до регистрации права и оплаты ЖКУ </w:t>
      </w:r>
      <w:r>
        <w:rPr>
          <w:color w:val="000000" w:themeColor="text1"/>
          <w:sz w:val="24"/>
          <w:szCs w:val="24"/>
        </w:rPr>
        <w:t xml:space="preserve">-</w:t>
      </w:r>
      <w:r>
        <w:rPr>
          <w:color w:val="000000" w:themeColor="text1"/>
          <w:sz w:val="24"/>
          <w:szCs w:val="24"/>
        </w:rPr>
        <w:t xml:space="preserve"> бесшовный </w:t>
      </w:r>
      <w:r>
        <w:rPr>
          <w:color w:val="000000" w:themeColor="text1"/>
          <w:sz w:val="24"/>
          <w:szCs w:val="24"/>
        </w:rPr>
        <w:t xml:space="preserve">суперапп</w:t>
      </w:r>
      <w:r>
        <w:rPr>
          <w:color w:val="000000" w:themeColor="text1"/>
          <w:sz w:val="24"/>
          <w:szCs w:val="24"/>
        </w:rPr>
        <w:t xml:space="preserve">;</w:t>
      </w:r>
      <w:r>
        <w:rPr>
          <w:color w:val="000000" w:themeColor="text1"/>
          <w:sz w:val="24"/>
          <w:szCs w:val="24"/>
        </w:rPr>
      </w:r>
    </w:p>
    <w:p>
      <w:pPr>
        <w:pStyle w:val="697"/>
        <w:numPr>
          <w:ilvl w:val="0"/>
          <w:numId w:val="16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Работа со строительными компаниями по модели «встречной выгоды»: вовлечение, а не принуждение </w:t>
      </w:r>
      <w:r>
        <w:rPr>
          <w:color w:val="000000" w:themeColor="text1"/>
          <w:sz w:val="24"/>
          <w:szCs w:val="24"/>
        </w:rPr>
        <w:t xml:space="preserve">-</w:t>
      </w:r>
      <w:r>
        <w:rPr>
          <w:color w:val="000000" w:themeColor="text1"/>
          <w:sz w:val="24"/>
          <w:szCs w:val="24"/>
        </w:rPr>
        <w:t xml:space="preserve"> покажем девелоперам экономический смысл перехода на эскроу</w:t>
      </w:r>
      <w:r>
        <w:rPr>
          <w:color w:val="000000" w:themeColor="text1"/>
          <w:sz w:val="24"/>
          <w:szCs w:val="24"/>
        </w:rPr>
        <w:t xml:space="preserve">;</w:t>
      </w:r>
      <w:r>
        <w:rPr>
          <w:color w:val="000000" w:themeColor="text1"/>
          <w:sz w:val="24"/>
          <w:szCs w:val="24"/>
        </w:rPr>
      </w:r>
    </w:p>
    <w:p>
      <w:pPr>
        <w:pStyle w:val="697"/>
        <w:numPr>
          <w:ilvl w:val="0"/>
          <w:numId w:val="16"/>
        </w:numPr>
        <w:ind w:left="0" w:firstLine="567"/>
        <w:jc w:val="both"/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Формирование полноценной базы данных о рынке недвижимости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от поисковых запросов до ЖКУ-платежей 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 созда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т принципиально новую </w:t>
      </w:r>
      <w:r>
        <w:rPr>
          <w:sz w:val="24"/>
          <w:szCs w:val="24"/>
        </w:rPr>
        <w:t xml:space="preserve">скоринговую</w:t>
      </w:r>
      <w:r>
        <w:rPr>
          <w:sz w:val="24"/>
          <w:szCs w:val="24"/>
        </w:rPr>
        <w:t xml:space="preserve"> инфраструктуру: банк видит реальное поведение клиента, а не только его кредитную историю</w:t>
      </w:r>
      <w:r>
        <w:rPr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pStyle w:val="697"/>
        <w:ind w:left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Для перевода стратегии в плоскость практической реализации и формирования рабочего инструмента управления, на рассмотрение выносятся </w:t>
      </w:r>
      <w:r>
        <w:rPr>
          <w:rFonts w:ascii="Arial" w:hAnsi="Arial" w:cs="Arial"/>
          <w:b/>
          <w:bCs/>
        </w:rPr>
        <w:t xml:space="preserve">два </w:t>
      </w:r>
      <w:r>
        <w:rPr>
          <w:rFonts w:ascii="Arial" w:hAnsi="Arial" w:cs="Arial"/>
          <w:b/>
          <w:bCs/>
          <w:color w:val="000000" w:themeColor="text1"/>
        </w:rPr>
        <w:t xml:space="preserve">ключевых решения</w:t>
      </w:r>
      <w:r>
        <w:rPr>
          <w:rFonts w:ascii="Arial" w:hAnsi="Arial" w:cs="Arial"/>
          <w:color w:val="000000" w:themeColor="text1"/>
        </w:rPr>
        <w:t xml:space="preserve">: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688"/>
        <w:ind w:firstLine="567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1. Предоставление мандата на верификационный этап</w:t>
      </w:r>
      <w:r>
        <w:rPr>
          <w:b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Первоочередным шагом является получение полномочий на проведение глубокого аудита текущих процессов и компетенций внутри периметра группы. Данный этап критически необходим для отделения «корпоративных мифов» от реальных возможностей и включает в себя: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0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Серию интервью</w:t>
      </w:r>
      <w:r>
        <w:rPr>
          <w:rFonts w:ascii="Arial" w:hAnsi="Arial" w:cs="Arial"/>
          <w:color w:val="000000" w:themeColor="text1"/>
        </w:rPr>
        <w:t xml:space="preserve"> с ключевыми техническими и операционными руководителями, на которых возложены задачи по реализации стратегии.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0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Проверку гипотез</w:t>
      </w:r>
      <w:r>
        <w:rPr>
          <w:rFonts w:ascii="Arial" w:hAnsi="Arial" w:cs="Arial"/>
          <w:color w:val="000000" w:themeColor="text1"/>
        </w:rPr>
        <w:t xml:space="preserve"> аналитиков Sana Holding на соответствие текущим технологическим мощностям группы.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0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Формирование объективной картины</w:t>
      </w:r>
      <w:r>
        <w:rPr>
          <w:rFonts w:ascii="Arial" w:hAnsi="Arial" w:cs="Arial"/>
          <w:color w:val="000000" w:themeColor="text1"/>
        </w:rPr>
        <w:t xml:space="preserve"> кадрового и инфраструктурного потенциала, очищенной от внутренних искажений.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0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Локализацию «узких мест»</w:t>
      </w:r>
      <w:r>
        <w:rPr>
          <w:rFonts w:ascii="Arial" w:hAnsi="Arial" w:cs="Arial"/>
          <w:color w:val="000000" w:themeColor="text1"/>
        </w:rPr>
        <w:t xml:space="preserve">, препятствующих бесшовной интеграции активов (банка, классифайдов, сервисов).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ind w:left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688"/>
        <w:ind w:firstLine="567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2. Подготовка и финализация Дорожной карты реализации</w:t>
      </w:r>
      <w:r>
        <w:rPr>
          <w:b/>
          <w:color w:val="000000" w:themeColor="text1"/>
        </w:rPr>
      </w:r>
    </w:p>
    <w:p>
      <w:pPr>
        <w:pStyle w:val="705"/>
        <w:ind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Итогом верификационной работы станет детальный документ, полностью готовый к запуску в исполнение. Дорожная карта будет включать: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1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Продуктовую архитектуру:</w:t>
      </w:r>
      <w:r>
        <w:rPr>
          <w:rFonts w:ascii="Arial" w:hAnsi="Arial" w:cs="Arial"/>
          <w:color w:val="000000" w:themeColor="text1"/>
        </w:rPr>
        <w:t xml:space="preserve"> описание функциональных блоков PropTech-платформы и этапность их вывода на рынок.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1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Операционную модель:</w:t>
      </w:r>
      <w:r>
        <w:rPr>
          <w:rFonts w:ascii="Arial" w:hAnsi="Arial" w:cs="Arial"/>
          <w:color w:val="000000" w:themeColor="text1"/>
        </w:rPr>
        <w:t xml:space="preserve"> предложение по созданию и составу </w:t>
      </w:r>
      <w:r>
        <w:rPr>
          <w:rFonts w:ascii="Arial" w:hAnsi="Arial" w:cs="Arial"/>
          <w:b/>
          <w:bCs/>
          <w:color w:val="000000" w:themeColor="text1"/>
        </w:rPr>
        <w:t xml:space="preserve">отдельной рабочей группы</w:t>
      </w:r>
      <w:r>
        <w:rPr>
          <w:rFonts w:ascii="Arial" w:hAnsi="Arial" w:cs="Arial"/>
          <w:color w:val="000000" w:themeColor="text1"/>
        </w:rPr>
        <w:t xml:space="preserve"> (вне стандартной структуры банка) для управления трансформацией.</w:t>
      </w:r>
      <w:r>
        <w:rPr>
          <w:rFonts w:ascii="Arial" w:hAnsi="Arial" w:cs="Arial"/>
          <w:color w:val="000000" w:themeColor="text1"/>
        </w:rPr>
      </w:r>
    </w:p>
    <w:p>
      <w:pPr>
        <w:pStyle w:val="705"/>
        <w:numPr>
          <w:ilvl w:val="0"/>
          <w:numId w:val="11"/>
        </w:numPr>
        <w:ind w:left="0" w:firstLine="567"/>
        <w:jc w:val="both"/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Финансовый план и KPI:</w:t>
      </w:r>
      <w:r>
        <w:rPr>
          <w:rFonts w:ascii="Arial" w:hAnsi="Arial" w:cs="Arial"/>
          <w:color w:val="000000" w:themeColor="text1"/>
        </w:rPr>
        <w:t xml:space="preserve"> расчет необходимых инвестиций, сроки окупаемости и измеримые индикаторы успеха.</w:t>
      </w:r>
      <w:r>
        <w:rPr>
          <w:rFonts w:ascii="Arial" w:hAnsi="Arial" w:cs="Arial"/>
          <w:color w:val="000000" w:themeColor="text1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ind w:firstLine="567"/>
        <w:jc w:val="right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Вносится для принятия решений</w:t>
      </w:r>
      <w:r>
        <w:rPr>
          <w:i/>
          <w:color w:val="000000" w:themeColor="text1"/>
          <w:sz w:val="24"/>
          <w:szCs w:val="24"/>
        </w:rPr>
      </w:r>
    </w:p>
    <w:p>
      <w:pPr>
        <w:ind w:firstLine="56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660" w:hanging="36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00" w:hanging="300"/>
      </w:pPr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66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66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Courier New" w:hAnsi="Courier New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2"/>
  </w:num>
  <w:num w:numId="3">
    <w:abstractNumId w:val="3"/>
    <w:lvlOverride w:ilvl="0">
      <w:startOverride w:val="1"/>
    </w:lvlOverride>
  </w:num>
  <w:num w:numId="4">
    <w:abstractNumId w:val="0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1"/>
  </w:num>
  <w:num w:numId="10">
    <w:abstractNumId w:val="13"/>
  </w:num>
  <w:num w:numId="11">
    <w:abstractNumId w:val="10"/>
  </w:num>
  <w:num w:numId="12">
    <w:abstractNumId w:val="14"/>
  </w:num>
  <w:num w:numId="13">
    <w:abstractNumId w:val="9"/>
  </w:num>
  <w:num w:numId="14">
    <w:abstractNumId w:val="5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692"/>
    <w:link w:val="6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692"/>
    <w:link w:val="687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692"/>
    <w:link w:val="68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692"/>
    <w:link w:val="68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692"/>
    <w:link w:val="69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692"/>
    <w:link w:val="69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85"/>
    <w:next w:val="685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9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85"/>
    <w:next w:val="685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9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85"/>
    <w:next w:val="685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9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character" w:styleId="36">
    <w:name w:val="Title Char"/>
    <w:basedOn w:val="692"/>
    <w:link w:val="695"/>
    <w:uiPriority w:val="10"/>
    <w:rPr>
      <w:sz w:val="48"/>
      <w:szCs w:val="48"/>
    </w:rPr>
  </w:style>
  <w:style w:type="paragraph" w:styleId="37">
    <w:name w:val="Subtitle"/>
    <w:basedOn w:val="685"/>
    <w:next w:val="685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92"/>
    <w:link w:val="37"/>
    <w:uiPriority w:val="11"/>
    <w:rPr>
      <w:sz w:val="24"/>
      <w:szCs w:val="24"/>
    </w:rPr>
  </w:style>
  <w:style w:type="paragraph" w:styleId="39">
    <w:name w:val="Quote"/>
    <w:basedOn w:val="685"/>
    <w:next w:val="685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85"/>
    <w:next w:val="685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85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92"/>
    <w:link w:val="43"/>
    <w:uiPriority w:val="99"/>
  </w:style>
  <w:style w:type="paragraph" w:styleId="45">
    <w:name w:val="Footer"/>
    <w:basedOn w:val="685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92"/>
    <w:link w:val="45"/>
    <w:uiPriority w:val="99"/>
  </w:style>
  <w:style w:type="paragraph" w:styleId="47">
    <w:name w:val="Caption"/>
    <w:basedOn w:val="685"/>
    <w:next w:val="685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9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9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9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9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9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9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700"/>
    <w:uiPriority w:val="99"/>
    <w:rPr>
      <w:sz w:val="18"/>
    </w:rPr>
  </w:style>
  <w:style w:type="character" w:styleId="180">
    <w:name w:val="Endnote Text Char"/>
    <w:link w:val="703"/>
    <w:uiPriority w:val="99"/>
    <w:rPr>
      <w:sz w:val="20"/>
    </w:rPr>
  </w:style>
  <w:style w:type="paragraph" w:styleId="182">
    <w:name w:val="toc 1"/>
    <w:basedOn w:val="685"/>
    <w:next w:val="685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85"/>
    <w:next w:val="685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85"/>
    <w:next w:val="685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</w:style>
  <w:style w:type="paragraph" w:styleId="686">
    <w:name w:val="Heading 1"/>
    <w:uiPriority w:val="9"/>
    <w:qFormat/>
    <w:pPr>
      <w:spacing w:before="320" w:after="160"/>
      <w:outlineLvl w:val="0"/>
    </w:pPr>
    <w:rPr>
      <w:b/>
      <w:bCs/>
      <w:color w:val="ffffff"/>
      <w:sz w:val="34"/>
      <w:szCs w:val="34"/>
    </w:rPr>
  </w:style>
  <w:style w:type="paragraph" w:styleId="687">
    <w:name w:val="Heading 2"/>
    <w:uiPriority w:val="9"/>
    <w:unhideWhenUsed/>
    <w:qFormat/>
    <w:pPr>
      <w:spacing w:before="280" w:after="120"/>
      <w:outlineLvl w:val="1"/>
    </w:pPr>
    <w:rPr>
      <w:b/>
      <w:bCs/>
      <w:color w:val="1b3a5c"/>
      <w:sz w:val="26"/>
      <w:szCs w:val="26"/>
    </w:rPr>
  </w:style>
  <w:style w:type="paragraph" w:styleId="688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689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690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91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692" w:default="1">
    <w:name w:val="Default Paragraph Font"/>
    <w:uiPriority w:val="1"/>
    <w:unhideWhenUsed/>
  </w:style>
  <w:style w:type="table" w:styleId="69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4" w:default="1">
    <w:name w:val="No List"/>
    <w:uiPriority w:val="99"/>
    <w:semiHidden/>
    <w:unhideWhenUsed/>
  </w:style>
  <w:style w:type="paragraph" w:styleId="695">
    <w:name w:val="Title"/>
    <w:uiPriority w:val="10"/>
    <w:qFormat/>
    <w:rPr>
      <w:sz w:val="56"/>
      <w:szCs w:val="56"/>
    </w:rPr>
  </w:style>
  <w:style w:type="paragraph" w:styleId="696" w:customStyle="1">
    <w:name w:val="Строгий1"/>
    <w:qFormat/>
    <w:rPr>
      <w:b/>
      <w:bCs/>
    </w:rPr>
  </w:style>
  <w:style w:type="paragraph" w:styleId="697">
    <w:name w:val="List Paragraph"/>
    <w:qFormat/>
  </w:style>
  <w:style w:type="character" w:styleId="698">
    <w:name w:val="Hyperlink"/>
    <w:uiPriority w:val="99"/>
    <w:unhideWhenUsed/>
    <w:rPr>
      <w:color w:val="0563c1"/>
      <w:u w:val="single"/>
    </w:rPr>
  </w:style>
  <w:style w:type="character" w:styleId="699">
    <w:name w:val="footnote reference"/>
    <w:uiPriority w:val="99"/>
    <w:semiHidden/>
    <w:unhideWhenUsed/>
    <w:rPr>
      <w:vertAlign w:val="superscript"/>
    </w:rPr>
  </w:style>
  <w:style w:type="paragraph" w:styleId="700">
    <w:name w:val="footnote text"/>
    <w:link w:val="701"/>
    <w:uiPriority w:val="99"/>
    <w:semiHidden/>
    <w:unhideWhenUsed/>
    <w:rPr>
      <w:sz w:val="20"/>
      <w:szCs w:val="20"/>
    </w:rPr>
  </w:style>
  <w:style w:type="character" w:styleId="701" w:customStyle="1">
    <w:name w:val="Текст сноски Знак"/>
    <w:link w:val="700"/>
    <w:uiPriority w:val="99"/>
    <w:semiHidden/>
    <w:unhideWhenUsed/>
    <w:rPr>
      <w:sz w:val="20"/>
      <w:szCs w:val="20"/>
    </w:rPr>
  </w:style>
  <w:style w:type="character" w:styleId="702">
    <w:name w:val="endnote reference"/>
    <w:uiPriority w:val="99"/>
    <w:semiHidden/>
    <w:unhideWhenUsed/>
    <w:rPr>
      <w:vertAlign w:val="superscript"/>
    </w:rPr>
  </w:style>
  <w:style w:type="paragraph" w:styleId="703">
    <w:name w:val="endnote text"/>
    <w:link w:val="704"/>
    <w:uiPriority w:val="99"/>
    <w:semiHidden/>
    <w:unhideWhenUsed/>
    <w:rPr>
      <w:sz w:val="20"/>
      <w:szCs w:val="20"/>
    </w:rPr>
  </w:style>
  <w:style w:type="character" w:styleId="704" w:customStyle="1">
    <w:name w:val="Текст концевой сноски Знак"/>
    <w:link w:val="703"/>
    <w:uiPriority w:val="99"/>
    <w:semiHidden/>
    <w:unhideWhenUsed/>
    <w:rPr>
      <w:sz w:val="20"/>
      <w:szCs w:val="20"/>
    </w:rPr>
  </w:style>
  <w:style w:type="paragraph" w:styleId="705">
    <w:name w:val="Normal (Web)"/>
    <w:basedOn w:val="685"/>
    <w:uiPriority w:val="99"/>
    <w:unhideWhenUsed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706">
    <w:name w:val="Body Text"/>
    <w:link w:val="707"/>
    <w:pPr>
      <w:jc w:val="both"/>
      <w:spacing w:before="120" w:after="120"/>
    </w:pPr>
    <w:rPr>
      <w:color w:val="000000"/>
      <w:sz w:val="24"/>
      <w:szCs w:val="24"/>
    </w:rPr>
  </w:style>
  <w:style w:type="character" w:styleId="707" w:customStyle="1">
    <w:name w:val="Основной текст Знак"/>
    <w:basedOn w:val="692"/>
    <w:link w:val="706"/>
    <w:rPr>
      <w:color w:val="000000"/>
      <w:sz w:val="24"/>
      <w:szCs w:val="24"/>
    </w:rPr>
  </w:style>
  <w:style w:type="character" w:styleId="708">
    <w:name w:val="Strong"/>
    <w:basedOn w:val="692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Saltanat Zholamanova</cp:lastModifiedBy>
  <cp:revision>6</cp:revision>
  <dcterms:created xsi:type="dcterms:W3CDTF">2026-04-06T07:37:00Z</dcterms:created>
  <dcterms:modified xsi:type="dcterms:W3CDTF">2026-05-21T09:39:42Z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2026-04-06T07:37:31Z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bb5bd523-e97a-4c5c-8224-c9b1fb3a9659</vt:lpwstr>
  </property>
  <property fmtid="{D5CDD505-2E9C-101B-9397-08002B2CF9AE}" pid="7" name="MSIP_Label_defa4170-0d19-0005-0004-bc88714345d2_ActionId">
    <vt:lpwstr>3b34f322-c513-457d-ae31-387496808454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