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  <w:lang w:val="en-US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  <w:lang w:val="en-US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  <w:lang w:val="en-US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center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jc w:val="center"/>
        <w:rPr>
          <w:rFonts w:ascii="Golos Text" w:hAnsi="Golos Text" w:cs="Golos Text"/>
          <w:color w:val="000000" w:themeColor="text1"/>
          <w:sz w:val="32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32"/>
          <w:szCs w:val="24"/>
        </w:rPr>
        <w:t xml:space="preserve">Операционный контур</w:t>
      </w:r>
      <w:r>
        <w:rPr>
          <w:rFonts w:ascii="Golos Text" w:hAnsi="Golos Text" w:cs="Golos Text"/>
          <w:color w:val="000000" w:themeColor="text1"/>
          <w:sz w:val="32"/>
          <w:szCs w:val="24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  <w:sz w:val="32"/>
          <w:szCs w:val="24"/>
        </w:rPr>
        <w:t xml:space="preserve">Proptech-экосистемы</w:t>
      </w:r>
      <w:r>
        <w:rPr>
          <w:rFonts w:ascii="Golos Text" w:hAnsi="Golos Text" w:cs="Golos Text"/>
          <w:color w:val="000000" w:themeColor="text1"/>
          <w:sz w:val="32"/>
          <w:szCs w:val="24"/>
        </w:rPr>
      </w:r>
    </w:p>
    <w:p>
      <w:pPr>
        <w:ind w:firstLine="709"/>
        <w:jc w:val="center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br w:type="page" w:clear="all"/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sdt>
      <w:sdtPr>
        <w15:appearance w15:val="boundingBox"/>
        <w:id w:val="-1085144614"/>
        <w:docPartObj>
          <w:docPartGallery w:val="Table of Contents"/>
          <w:docPartUnique w:val="true"/>
        </w:docPartObj>
        <w:rPr>
          <w:rFonts w:ascii="Arial" w:hAnsi="Arial" w:eastAsia="Arial" w:cs="Arial"/>
          <w:b w:val="0"/>
          <w:bCs w:val="0"/>
          <w:color w:val="auto"/>
          <w:sz w:val="22"/>
          <w:szCs w:val="22"/>
        </w:rPr>
      </w:sdtPr>
      <w:sdtContent>
        <w:p>
          <w:pPr>
            <w:pStyle w:val="731"/>
            <w:jc w:val="both"/>
            <w:spacing w:line="240" w:lineRule="auto"/>
            <w:rPr>
              <w:rFonts w:ascii="Golos Text" w:hAnsi="Golos Text" w:cs="Golos Text"/>
              <w:color w:val="000000" w:themeColor="text1"/>
              <w:sz w:val="24"/>
              <w:szCs w:val="24"/>
            </w:rPr>
          </w:pPr>
          <w:r>
            <w:rPr>
              <w:rFonts w:ascii="Golos Text" w:hAnsi="Golos Text" w:cs="Golos Text"/>
              <w:color w:val="000000" w:themeColor="text1"/>
              <w:sz w:val="24"/>
              <w:szCs w:val="24"/>
            </w:rPr>
            <w:t xml:space="preserve">Содержание</w:t>
          </w:r>
          <w:r>
            <w:rPr>
              <w:rFonts w:ascii="Golos Text" w:hAnsi="Golos Text" w:cs="Golos Text"/>
              <w:color w:val="000000" w:themeColor="text1"/>
              <w:sz w:val="24"/>
              <w:szCs w:val="24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>
            <w:rPr>
              <w:rFonts w:ascii="Golos Text" w:hAnsi="Golos Text" w:cs="Golos Text"/>
              <w:b w:val="0"/>
              <w:bCs w:val="0"/>
              <w:i w:val="0"/>
              <w:color w:val="000000" w:themeColor="text1"/>
            </w:rPr>
            <w:fldChar w:fldCharType="begin"/>
          </w:r>
          <w:r>
            <w:rPr>
              <w:rFonts w:ascii="Golos Text" w:hAnsi="Golos Text" w:cs="Golos Text"/>
              <w:b w:val="0"/>
              <w:i w:val="0"/>
              <w:color w:val="000000" w:themeColor="text1"/>
            </w:rPr>
            <w:instrText xml:space="preserve">TOC \o "1-3" \h \z \u</w:instrText>
          </w:r>
          <w:r>
            <w:rPr>
              <w:rFonts w:ascii="Golos Text" w:hAnsi="Golos Text" w:cs="Golos Text"/>
              <w:b w:val="0"/>
              <w:bCs w:val="0"/>
              <w:i w:val="0"/>
              <w:color w:val="000000" w:themeColor="text1"/>
            </w:rPr>
            <w:fldChar w:fldCharType="separate"/>
          </w:r>
          <w:hyperlink w:tooltip="#_Toc228984385" w:anchor="_Toc228984385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1. Введение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_Toc228984385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3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386" w:anchor="_Toc228984386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2. Эталонная модель </w:t>
            </w:r>
            <w:r>
              <w:rPr>
                <w:rStyle w:val="723"/>
                <w:rFonts w:ascii="Golos Text" w:hAnsi="Golos Text" w:cs="Golos Text"/>
                <w:b w:val="0"/>
                <w:i w:val="0"/>
                <w:lang w:val="en-US"/>
              </w:rPr>
              <w:t xml:space="preserve">Proptech</w:t>
            </w:r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-экосистемы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_Toc228984386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4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87" w:anchor="_Toc228984387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2.1. Клиентский путь: 5 шагов к владению жильем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_Toc228984387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4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88" w:anchor="_Toc228984388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2.2. Сквозные инфраструктурные слои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_Toc228984388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4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89" w:anchor="_Toc228984389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2.3. Архитектура функциональных модулей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_Toc228984389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5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390" w:anchor="_Toc228984390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3. Аудит текущих активов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_Toc228984390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6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1" w:anchor="_Toc228984391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3.1. Цифровые финансы: CryptoPay и токенизация активов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_Toc228984391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6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2" w:anchor="_Toc228984392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3.2. GAP-анализ: Определение зон развития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_Toc228984392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7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393" w:anchor="_Toc228984393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4. Интерфейс экосистемы: независимая платформа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_Toc228984393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8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4" w:anchor="_Toc228984394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4.1. Сценарии реализации пользовательского интерфейса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_Toc228984394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8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395" w:anchor="_Toc228984395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5. Трансформация вертикалей: От бенчмарков к лидерству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_Toc228984395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11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6" w:anchor="_Toc228984396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5.1. Поиск и выбор (Krisha.kz)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_Toc228984396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11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7" w:anchor="_Toc228984397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5.2. Сделка и финансирование (Alatau City Bank)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_Toc228984397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11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8" w:anchor="_Toc228984398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5.3. Страхование (Alatau City Garant)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_Toc228984398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12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399" w:anchor="_Toc228984399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5.4. Сервис ЖКУ (Алсеко и ЕРЦ)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_Toc228984399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13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400" w:anchor="_Toc228984400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5.5. Lifestyle-сервисы и обустройство (Kaspi)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_Toc228984400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14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401" w:anchor="_Toc228984401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5.6. Инвестиции - токенизация недвижимости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_Toc228984401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14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402" w:anchor="_Toc228984402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5.7. ConTech - стандарты цифрового строительства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_Toc228984402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15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3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pPr>
          <w:r/>
          <w:hyperlink w:tooltip="#_Toc228984403" w:anchor="_Toc228984403" w:history="1">
            <w:r>
              <w:rPr>
                <w:rStyle w:val="723"/>
                <w:rFonts w:ascii="Golos Text" w:hAnsi="Golos Text" w:cs="Golos Text"/>
                <w:b w:val="0"/>
                <w:sz w:val="24"/>
                <w:szCs w:val="24"/>
              </w:rPr>
              <w:t xml:space="preserve">5.8. Data Strategy: Единый слой данных и Identity-сервис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ab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begin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instrText xml:space="preserve"> PAGEREF _Toc228984403 \h </w:instrTex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separate"/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t xml:space="preserve">16</w:t>
            </w:r>
            <w:r>
              <w:rPr>
                <w:rFonts w:ascii="Golos Text" w:hAnsi="Golos Text" w:cs="Golos Text"/>
                <w:b w:val="0"/>
                <w:sz w:val="24"/>
                <w:szCs w:val="24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sz w:val="24"/>
              <w:szCs w:val="24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404" w:anchor="_Toc228984404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6. Роль SANA Holding в проекте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_Toc228984404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17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pStyle w:val="732"/>
            <w:jc w:val="both"/>
            <w:tabs>
              <w:tab w:val="right" w:pos="9350" w:leader="dot"/>
            </w:tabs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pPr>
          <w:r/>
          <w:hyperlink w:tooltip="#_Toc228984405" w:anchor="_Toc228984405" w:history="1">
            <w:r>
              <w:rPr>
                <w:rStyle w:val="723"/>
                <w:rFonts w:ascii="Golos Text" w:hAnsi="Golos Text" w:cs="Golos Text"/>
                <w:b w:val="0"/>
                <w:i w:val="0"/>
              </w:rPr>
              <w:t xml:space="preserve">7. Заключение</w:t>
            </w:r>
            <w:r>
              <w:rPr>
                <w:rFonts w:ascii="Golos Text" w:hAnsi="Golos Text" w:cs="Golos Text"/>
                <w:b w:val="0"/>
                <w:i w:val="0"/>
              </w:rPr>
              <w:tab/>
            </w:r>
            <w:r>
              <w:rPr>
                <w:rFonts w:ascii="Golos Text" w:hAnsi="Golos Text" w:cs="Golos Text"/>
                <w:b w:val="0"/>
                <w:i w:val="0"/>
              </w:rPr>
              <w:fldChar w:fldCharType="begin"/>
            </w:r>
            <w:r>
              <w:rPr>
                <w:rFonts w:ascii="Golos Text" w:hAnsi="Golos Text" w:cs="Golos Text"/>
                <w:b w:val="0"/>
                <w:i w:val="0"/>
              </w:rPr>
              <w:instrText xml:space="preserve"> PAGEREF _Toc228984405 \h </w:instrText>
            </w:r>
            <w:r>
              <w:rPr>
                <w:rFonts w:ascii="Golos Text" w:hAnsi="Golos Text" w:cs="Golos Text"/>
                <w:b w:val="0"/>
                <w:i w:val="0"/>
              </w:rPr>
            </w:r>
            <w:r>
              <w:rPr>
                <w:rFonts w:ascii="Golos Text" w:hAnsi="Golos Text" w:cs="Golos Text"/>
                <w:b w:val="0"/>
                <w:i w:val="0"/>
              </w:rPr>
              <w:fldChar w:fldCharType="separate"/>
            </w:r>
            <w:r>
              <w:rPr>
                <w:rFonts w:ascii="Golos Text" w:hAnsi="Golos Text" w:cs="Golos Text"/>
                <w:b w:val="0"/>
                <w:i w:val="0"/>
              </w:rPr>
              <w:t xml:space="preserve">19</w:t>
            </w:r>
            <w:r>
              <w:rPr>
                <w:rFonts w:ascii="Golos Text" w:hAnsi="Golos Text" w:cs="Golos Text"/>
                <w:b w:val="0"/>
                <w:i w:val="0"/>
              </w:rPr>
              <w:fldChar w:fldCharType="end"/>
            </w:r>
          </w:hyperlink>
          <w:r/>
          <w:r>
            <w:rPr>
              <w:rFonts w:ascii="Golos Text" w:hAnsi="Golos Text" w:cs="Golos Text" w:eastAsiaTheme="minorEastAsia"/>
              <w:b w:val="0"/>
              <w:bCs w:val="0"/>
              <w:i w:val="0"/>
              <w:iCs w:val="0"/>
            </w:rPr>
          </w:r>
        </w:p>
        <w:p>
          <w:pPr>
            <w:jc w:val="both"/>
          </w:pPr>
          <w:r>
            <w:rPr>
              <w:rFonts w:ascii="Golos Text" w:hAnsi="Golos Text" w:cs="Golos Text"/>
              <w:bCs/>
              <w:color w:val="000000" w:themeColor="text1"/>
              <w:sz w:val="24"/>
              <w:szCs w:val="24"/>
            </w:rPr>
            <w:fldChar w:fldCharType="end"/>
          </w:r>
          <w:r/>
        </w:p>
      </w:sdtContent>
    </w:sdt>
    <w:p>
      <w:r>
        <w:br w:type="page" w:clear="all"/>
      </w:r>
      <w:r/>
    </w:p>
    <w:p>
      <w:pPr>
        <w:pStyle w:val="711"/>
        <w:ind w:firstLine="709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0" w:name="_Toc228984385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1. Введение</w:t>
      </w:r>
      <w:bookmarkEnd w:id="0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 оценкам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Savills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McKinsey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совокупная стоимость мирового жилого и коммерческого фонда достигла $393,3 трлн - это крупнейший класс активов в мировой экономике, превосходящий по объему рынки акций и облигаций вместе взятые. При этом отрасль остается одной из наименее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цифровизованных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: менее 3% стоимости в цепочке сделок генерируется технологическими компаниями, 61% игроков продолжают эксплуатировать инфраструктурные решения прошлого века. Объем рынка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-решений по прогнозам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Precedence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Research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вырастет с $47 млрд в 2025 году до $209 млрд к 2035 году при среднегодовом темпе 16,1-16,4%.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Глобальные тренды указывают на переход от точечных цифровых инструментов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2.0-3.0) к интеллектуальным экосистемам фазы 4.0, где искусственный интеллект, блокчейн, интернет вещей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IoT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 и глубокая интеграция финансовых сервисов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FinProp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 создают бесшовную среду взаимодействия. Мировые лидеры - Zillow в США, Beike в Китае,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России - доминируют в отдельных региональных нишах, но ни один игрок пока не реализовал концепцию «полного цикла», объединяющую проектирование, строительство, финансирование, регистрацию, управление и инвестирование в рамках единой платформы.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Совокупный объем рынка недвижимости РК оценивается в 12 трлн тенге, при этом он характеризуется глубокой структурной деформацией: до 68% сделок в долевом строительстве проводятся по незаконным схемам, проникновение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ипотеки в ВВП составляет всего 5% (в десятки раз ниже развитых стран). Обеспеченность жильем - 24,5 кв. м на человека при норме ООН 30 кв. м - в сочетании с ежегодным приростом населения в 200-230 тыс. человек создает колоссальный неудовлетворенный спрос.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 соответствии с Конституционным законом «О специальном статусе города Алатау», подписанным Президентом, закреплен принцип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Digital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default (ст. 12). Законом легализован блокчейн-кадастр прав на недвижимость (п. 3 ст. 66), а также разрешено создание банками дочерних структур-резидентов для осуществления операций с цифровыми активами (п. 3-4 ст. 50).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24 апреля 2026 года в Alem.ai в присутств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ии Главы государства был проведен первый в Казахстане криптоплатеж - Alatau City Bank совместно с Binance Kazakhstan. Налоговая автономность Alatau City до 2050 года и защита инвестиций по английскому праву ставят город на уровень Дубая в Центральной Азии.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Сочетание законодательного мандата и созревшего рыночного сп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роса создает идеальный момент для перехода от деклараций к практической реализации. Задача Proptech - стать институциональным гарантом: цифровая верификация, прозрачные процедуры, контроль качества. Честная сделка должна стать стандартом, а не исключением.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8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" w:name="_Toc228984386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2. Эталонная модель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Proptech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-экосистемы</w:t>
      </w:r>
      <w:bookmarkEnd w:id="1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Мировые Proptech-лидеры - Zillow в США,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России, Dubai Land Department в ОАЭ, DBS Bank в Сингапуре - доминируют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отдельных нишах, но ни один не построил полную экосистему «строительство + финансы + сервис». При этом каждый из них показывает, как должен работать конкретный этап клиентского пути. Сложение этих этапов и дает нам структуру, к которой стоит стремиться.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2" w:name="_Toc228984387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2.1. Клиентский путь: 5 шагов к владению жильем</w:t>
      </w:r>
      <w:bookmarkEnd w:id="2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Из мирового опыта вытекает пять последовательных этапов, каждый из которых должен обслуживаться отдельным функциональным блоком экосистемы: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Поиск.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Точка входа в экосистему. Кли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ент ищет объект - квартиру, дом, инвестиционный лот. Мировой стандарт задает Zillow (США, 204 млн пользователей в месяц): биография объекта, публичная оценка с метрикой точности, scores окружения. От качества первого касания зависит вся дальнейшая воронка.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Сделка.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Цифровая регистрация перехода права собственности, эскроу-расчеты, юридическое сопровождение. Стандарт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/Сбер: 8 млн сделок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год, электронная регистрация за 1-3 дня, эскроу за 10 000 рублей. И Dubai Land Department: 158 тыс. сделок и $136 млрд за 9 месяцев 2025, рост +32% год к году благодаря удаленной верификации, дистанционной регистрации, обязательному эскроу для off-plan.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Финансы.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Ипотека, проектное финансирование застройщиков, скоринг на основе реального поведения клиента (а не только кредитной истории). Эталон - DBS Bank: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недвижимости в банковском приложении, ESG-кредиты для девелоперов, GenAI-скоринг. И снова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- 30% сделок проходят без ипотеки, что показывает зрелость инфраструктуры.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Инвестиции.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Доступ к недвижимости как инвестиционному инструменту через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токенизацию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долевое владение. Эталон - Prypco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Mint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Дубае: вход от $545,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токены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блокчейне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с прямой связкой с государственным реестром DLD. Это превращает недвижимость в массовый инвестиционный инструмент, доступный с любого порога.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Сервис.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Пожизненное сопровождение собственника после сделки: ЖКУ-биллинг, ремонт, обустройство, страхование, управление зданием. Здесь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референсами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выступают Kraken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от Octopus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Energy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(70+ млн обслуживаемых счетов в 27 странах, AI-операционная система, снижение cost-to-serve на 40%) и Beike Home Renovation в Китае (бренды Beiwo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Shengdu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ИИ-визуализация дизайна на план квартиры).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i/>
          <w:iCs/>
          <w:color w:val="000000" w:themeColor="text1"/>
          <w:sz w:val="24"/>
          <w:szCs w:val="24"/>
        </w:rPr>
        <w:pBdr>
          <w:left w:val="single" w:color="1F4E79" w:sz="24" w:space="16"/>
        </w:pBdr>
      </w:pPr>
      <w:r>
        <w:rPr>
          <w:rFonts w:ascii="Golos Text" w:hAnsi="Golos Text" w:cs="Golos Text"/>
          <w:i/>
          <w:iCs/>
          <w:color w:val="000000" w:themeColor="text1"/>
          <w:sz w:val="24"/>
          <w:szCs w:val="24"/>
        </w:rPr>
        <w:t xml:space="preserve">Эти пять этапов работают как непрерывный путь. Если один из них выпадает или работает плохо, рвется вся цепочка: пользователь возвращается в офлайн, теряется доверие, исчезает экосистемный эффект. </w:t>
      </w:r>
      <w:r>
        <w:rPr>
          <w:rFonts w:ascii="Golos Text" w:hAnsi="Golos Text" w:cs="Golos Text"/>
          <w:i/>
          <w:iCs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3" w:name="_Toc228984388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2.2. Сквозные инфраструктурные слои</w:t>
      </w:r>
      <w:bookmarkEnd w:id="3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Помимо пяти этапов клиентского пути, мировой опыт показывает наличие двух сквозных инфраструктурных слоев, без которых отдельные этапы не складываются в экосистему.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Единые данные и идентификация.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квозная авторизация между всеми сервисами (KYC один раз, верификация везде), общая база объектов с обогащенными данными, событийная шина для расчетов. Без этого слоя пользователь проходит регистрацию заново в каждом сервисе и экосистемный эффект исчезает.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Технологическое ядро застройки (ConTech).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Цифровой кадастр на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блокчейне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BIM-интеграция, сквозной 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онтроль строительства, стандарты индустриального домостроения. Это фундамент, на котором стоят финансы (проектное финансирование, эскроу для off-plan) и инвестиции (токенизация объектов). Эталон - Dubai Land Department как государственная инфраструктура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Procore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как платформа для девелоперов.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  <w:lang w:val="en-US"/>
        </w:rPr>
      </w:pP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4" w:name="_Toc228984389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2.3. Архитектура функциональных модулей</w:t>
      </w:r>
      <w:bookmarkEnd w:id="4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Сложение этапов клиентского пути и сквозных слоев дает восемь функциональных блоков, которые должна закрывать полная Proptech-экосистема: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400"/>
        <w:gridCol w:w="2760"/>
      </w:tblGrid>
      <w:tr>
        <w:tblPrEx/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 w:val="24"/>
                <w:szCs w:val="24"/>
              </w:rPr>
              <w:t xml:space="preserve">Блок</w:t>
            </w:r>
            <w:r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 w:val="24"/>
                <w:szCs w:val="24"/>
              </w:rPr>
              <w:t xml:space="preserve">Что закрывает</w:t>
            </w:r>
            <w:r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 w:val="24"/>
                <w:szCs w:val="24"/>
              </w:rPr>
              <w:t xml:space="preserve">Мировой эталон</w:t>
            </w:r>
            <w:r>
              <w:rPr>
                <w:rFonts w:ascii="Golos Text" w:hAnsi="Golos Text" w:cs="Golos Text"/>
                <w:color w:val="ffffff" w:themeColor="background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Листинг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Поиск, выбор, верификация объекта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Zillow (США),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Домклик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 (РФ)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Сделка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Цифровая регистрация, эскроу, юр. сопровождение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Dubai Land Dept.,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Домклик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Финансы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Ипотека, проектное финансирование, скоринг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DBS Bank,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Домклик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/Сбер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Страхование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Защита сделки, имущества, жизни, цифровых долей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Сберстрах, First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American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Сервис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ЖКУ, ремонт, обустройство, управление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Kraken Tech, Beike Home Renovation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Инвестиции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Токенизация, долевое владение, вторичный рынок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Prypco Mint (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Дубай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), DBS Digital Exchange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Платежи и крипто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Programmable payments,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фиат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-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крипто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шлюз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DBS Token Services, Madmoun (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Дубай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  <w:t xml:space="preserve">)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  <w:lang w:val="en-US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2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ConTech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40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BIM, цифровой кадастр, контроль стройки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760" w:type="dxa"/>
            <w:textDirection w:val="lrTb"/>
            <w:noWrap w:val="false"/>
          </w:tcPr>
          <w:p>
            <w:pPr>
              <w:jc w:val="both"/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Procore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  <w:t xml:space="preserve">, Dubai Land Dept.</w:t>
            </w:r>
            <w:r>
              <w:rPr>
                <w:rFonts w:ascii="Golos Text" w:hAnsi="Golos Text" w:cs="Golos Text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9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5" w:name="_Toc228984390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3. Аудит текущих активов</w:t>
      </w:r>
      <w:bookmarkEnd w:id="5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Уникальная позиция состоит в том, что почти все восемь функциональных блоков покрываются 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ктивами в периметре одного акционера. Это снимает классические проблемы координации - конкуренции за пользователя, борьбы за данные, разногласий между инвесторами - и позволяет сфокусироваться на построении операционного контура, а не на сборке партнерств.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Карта закрытия блоков активами: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2378"/>
        <w:gridCol w:w="5112"/>
      </w:tblGrid>
      <w:tr>
        <w:tblPrEx/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ffffff" w:themeColor="background1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Cs w:val="24"/>
              </w:rPr>
              <w:t xml:space="preserve">Блок</w:t>
            </w:r>
            <w:r>
              <w:rPr>
                <w:rFonts w:ascii="Golos Text" w:hAnsi="Golos Text" w:cs="Golos Text"/>
                <w:color w:val="ffffff" w:themeColor="background1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ffffff" w:themeColor="background1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Cs w:val="24"/>
              </w:rPr>
              <w:t xml:space="preserve">Актив</w:t>
            </w:r>
            <w:r>
              <w:rPr>
                <w:rFonts w:ascii="Golos Text" w:hAnsi="Golos Text" w:cs="Golos Text"/>
                <w:color w:val="ffffff" w:themeColor="background1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ffffff" w:themeColor="background1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Cs w:val="24"/>
              </w:rPr>
              <w:t xml:space="preserve">Что закрывает / что может закрывать</w:t>
            </w:r>
            <w:r>
              <w:rPr>
                <w:rFonts w:ascii="Golos Text" w:hAnsi="Golos Text" w:cs="Golos Text"/>
                <w:color w:val="ffffff" w:themeColor="background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Листинг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Krisha.kz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Крупнейший трафик на рынке жилья РК, платформа узнаваема каждым покупателем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Сделка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Alatau City Bank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Эскроу для частных лиц и off-plan, цифровая регистрация через интеграцию с НАО «Правительство для граждан»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 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Финансы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Alatau City Bank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Капитал 1+ трлн тенге, k2=28% (втрое выше норматива), ипотека и проектное финансирование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Страхование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Alatau City 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Garant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Универсальная страховая, активы ТОП-8, 447 тыс. клиентов, готовая лицензия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Сервис (ЖКУ)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Алсеко + ЕРЦ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Контроль над ежедневными ЖКУ-платежами, данные о платежном поведении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Сервис (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маркетплейс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)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Kaspi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14 млн пользователей, daily-частота, готовая логистика, рассрочка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Инвестиции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ACB через дочернюю структуру или A</w:t>
            </w:r>
            <w:r>
              <w:rPr>
                <w:rFonts w:ascii="Golos Text" w:hAnsi="Golos Text" w:cs="Golos Text"/>
                <w:color w:val="000000" w:themeColor="text1"/>
                <w:szCs w:val="24"/>
                <w:lang w:val="en-US"/>
              </w:rPr>
              <w:t xml:space="preserve">latau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 </w:t>
            </w:r>
            <w:r>
              <w:rPr>
                <w:rFonts w:ascii="Golos Text" w:hAnsi="Golos Text" w:cs="Golos Text"/>
                <w:color w:val="000000" w:themeColor="text1"/>
                <w:szCs w:val="24"/>
                <w:lang w:val="en-US"/>
              </w:rPr>
              <w:t xml:space="preserve">City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 </w:t>
            </w:r>
            <w:r>
              <w:rPr>
                <w:rFonts w:ascii="Golos Text" w:hAnsi="Golos Text" w:cs="Golos Text"/>
                <w:color w:val="000000" w:themeColor="text1"/>
                <w:szCs w:val="24"/>
                <w:lang w:val="en-US"/>
              </w:rPr>
              <w:t xml:space="preserve">Invest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Право создания резидентной структуры по статье 50, пп. 3-4 закона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Платежи и крипто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ACB (CryptoPay)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Работающая инфраструктура, партнерство с Binance Kazakhstan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7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ConTech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378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Девелоперы Alatau City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112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Реальные пилотные площадки в периметре города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</w:tbl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6" w:name="_Toc228984391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3.1. Цифровые финансы: CryptoPay и токенизация активов</w:t>
      </w:r>
      <w:bookmarkEnd w:id="6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Криптоплатежи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токенизация недвижимости - два направления, которые не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являются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самостоятельными активами, но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могут появиться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благодаря Конституционн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ому закону. Статья 50, пункты 3-4 разрешают банкам создавать дочерние структуры-резиденты Alatau City для операций с цифровыми активами по регуляторной лицензии. Статья 66, пункт 3 закрепляет блокчейн-кадастр прав на недвижимость на законодательном уровне.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CryptoPay уже работает - первая в стране транзакция проведена 24 апреля 2026 года совместно с Binance Kazakhstan. Это инфраструктурный сервис, который должен стать сквозным платежным шлюзом для всех восьми блоков экосистемы.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Токенизация недвижимости - флагманский продукт, реализующий государственный приоритет CryptoCity. В феврале 2026 НБ РК запустил пилот токенизации коммерческой недвижимости.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 с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1 мая 2026 года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Нацбанк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уже ввел системное регулирование цифровых активов. Это означает, что «песочница» успешно выполнила свою роль, и теперь в Казахстане есть официальное разделение на необеспеченные (крипто) и обеспеченные (ЦФА) активы.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7" w:name="_Toc228984392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3.2. GAP-анализ: Определение зон развития</w:t>
      </w:r>
      <w:bookmarkEnd w:id="7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При всем богатстве периметра есть три блока, требующие отдельной работы: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Единые данные и идентификация.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Этого слоя пока нет. Ни один из активов не выполняет функцию единого identity-провайдера и общей базы объектов. Без этого слоя экосистема существует на уровне отдельных сервисов, а не как платформа.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ConTech-стандарты.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Девелоперы Alatau City есть как пилотные площадки, в их числе и собственный девелоперский актив группы (например,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Everest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Development). Однако единых цифровых стандартов - BIM, цифрового кадастра, сквозного контроля стройки - пока нет. Их предстоит установить и распространить на всех застройщиков периметра.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Кадастровый и регуляторный мост.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Связка блокчейн-кадастра (статья 66, п. 3) с реальным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 процессами регистрации сделок требует подзаконных актов, которых пока нет: порядок ведения блокчейн-кадастра, процедура регуляторной лицензии для операций с цифровыми активами, налоговый режим для SPV-токенизации, стандарты цифрового эскроу для off-plan.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9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8" w:name="_Toc228984393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4. Интерфейс экосистемы: независимая платформа</w:t>
      </w:r>
      <w:bookmarkEnd w:id="8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 сих по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 речь шла о функциональных блоках и активах, которые их закрывают. Отдельный вопрос - через какой интерфейс пользователь видит экосистему как единое целое. Восемь блоков и шесть активов сами по себе не образуют продукт: пользователю нужно одно место, где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он видит свои объекты, доли, сделки, платежи и историю. Где находится этот интерфейс - стратегическое решение, влияющее на бренд, скорость запуска, переговорные позиции с участниками и позиционирование экосистемы для государства и международных инвесторов.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9" w:name="_Toc228984394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4.1. Сценарии реализации пользовательского интерфейса</w:t>
      </w:r>
      <w:bookmarkEnd w:id="9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Сценарий 1: Автономная цифровая платформа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Создается новый бренд и отдельное приложение или портал, в которое встраиваются сервисы. Аналог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(Сбер сделал отдельный бренд для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а не «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Сбер.Недвижимость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» в банковском приложении) и Dubai REST (отдельное приложение Dubai Land Department, а не «вкладка в банке»).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Плюсы: чистое позиционирование экосистемы, нейтральная территория для всех участников, легкость упаковки для государства и международных инвесторов, естественный путь к статусу национальной инфраструктуры.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Минусы: нужно строить узнаваемость с нуля, выше стоимость привлечения пользователя, дольше до первой массовой транзакции.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3"/>
        <w:ind w:firstLine="709"/>
        <w:jc w:val="both"/>
        <w:spacing w:before="0" w:after="0"/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color w:val="000000" w:themeColor="text1"/>
        </w:rPr>
      </w:r>
      <w:r>
        <w:rPr>
          <w:rFonts w:ascii="Golos Text" w:hAnsi="Golos Text" w:cs="Golos Text"/>
          <w:color w:val="000000" w:themeColor="text1"/>
        </w:rPr>
      </w:r>
    </w:p>
    <w:p>
      <w:pPr>
        <w:ind w:firstLine="709"/>
        <w:jc w:val="both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Сценарий 2: Krisha.kz как драйвер трафика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Krisha превращается из листинга в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transaction-ready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платформу и становится «лицом» экосистемы для конечного пользователя. Все остальные сервисы встраиваются через карточку объекта и личный кабинет. Аналог - Zillow, ставший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суперапп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через расширение листинга вверх (ипотека, агенты) и вниз (страхование, ремонт).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Плюсы: 5,8 млн пользователей в месяц уже есть, не нужно строить узнаваемость, минимальная стоимость привлечения.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Минусы: Krisha воспринимается как доска объявлений,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репозиционирование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требует времени.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3"/>
        <w:ind w:firstLine="709"/>
        <w:jc w:val="both"/>
        <w:spacing w:before="0" w:after="0"/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color w:val="000000" w:themeColor="text1"/>
        </w:rPr>
      </w:r>
      <w:r>
        <w:rPr>
          <w:rFonts w:ascii="Golos Text" w:hAnsi="Golos Text" w:cs="Golos Text"/>
          <w:color w:val="000000" w:themeColor="text1"/>
        </w:rPr>
      </w:r>
    </w:p>
    <w:p>
      <w:pPr>
        <w:ind w:firstLine="709"/>
        <w:jc w:val="both"/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Сценарий 3: Alatau City Bank как финансовое ядро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Подход «банк-гавань» по модели DBS Bank в Сингапуре: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недвижимости встроен прямо в банковское приложение, остальные сервисы подключаются как партнерская витрина.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Плюсы: банк уже выполняет функцию финансового центра, Unified ID родом из ACB, естественная связка с ипотекой и эскроу.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Минусы: банковское приложение - узкая аудитория (1,2 млн MAU против 5,8 млн у Krisha и 14 млн у Kaspi); пользователи открывают банк раз в неделю, а не каждый день; сложно встроить инвестиционную и сервисную вертикали без размывания банковского бренда.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Из логики проекта и контекста, в котором он реализуется, наиболее последовательный ответ - Вариант 1. Три причины.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Первая.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Позиционирование экосистемы как национальной инфраструктуры. Этот тезис проходит через все материалы проекта - от Конституционного закона до архитектуры с прицелом на Open API. Его сложно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обосновать, если экосистема живет «внутри банка» или «внутри листинга». Независимая платформа - нейтральная территория, на которой могут на равных стоять Krisha, ACB, Kaspi, Алсеко/ЕРЦ и в перспективе внешние игроки.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Вторая.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Проект такого уровня требует создания «доверенной среды», которая выходит за рамки классического коммерческого сервиса. Учитывая фокус на автоматизацию госуслуг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Digital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default) и легализацию блокчейн-кадастра, экосистема фактически берет на себя роль технологического оператора города. Реализовать такой мандат в рамках интерфейса банка или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невозможно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необходима самостоятельная платформа, способная интегрировать государственные реестры и частные финансовые инструменты в единый бесшовный контур.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Третья.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Корейское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roadshow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международные инвесторы. Глобальным инвесторам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проще объяснить отдельную платформу с нейтральным брендом, чем «банковское приложение, в котором есть недвижимость» или «доску объявлений, которая теперь делает сделки». Это влияет на инвестиционную упаковку и оценку проекта для целей привлечения капитала.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Независимая платформа не отменяет существующие сервисы и не превращает их в подразделения. Каждый из них продолжает работать как самостоятельная точка входа в свой сценарий: Krisha - для поиска и выбора объекта, ACB - для ипотеки и сделки, Kaspi - для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платежей, Алсеко/ЕРЦ - для ЖКУ. На практике у нас гибрид: одна зонтичная платформа плюс сохранение существующих сервисов как самостоятельных каналов.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рабочий пример этой модели. Сбер запустил отдельный бренд и приложение для недвижимости, но Сбербанк-Онлайн остался банком, а не превратился в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-приложение. Кросс-связи между двумя приложениями работают через общий идентификатор и общие сервисы.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 нашем случае это означает следующее устройство: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Отдельный бренд экосистемы (название и позиционирование - отдельная задача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брендинга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Отдельное мобильное приложение и веб-портал.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Krisha остается самостоятельной - поиск объекта, листинг, верификация, рейтинги. Карточка объекта на Krisha содержит точки входа в платформу (ипотека, сделка, токенизация, оплата криптой).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ACB остается банком - ипотека, эскроу, сделка через стандартные банковские каналы. Платформа использует ACB как источник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единой верификации пользователей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Unified ID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базовое платежное ядро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Transaction Engine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Kaspi остается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маркетплейсом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при этом в рамках экосистемы можно масштабировать функционал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Kaspi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совместного развития категорий «Ремонт» и «Обустройство».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Платформа будет передавать сигналы о «новой покупке недвижимости», создавая базу для запуска новых вертикалей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: от товаров для отделки до сервисов переезда и рассрочек на обустройство.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Алсеко и ЕРЦ остаются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биллинговыми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операторами. Платформа агрегирует ЖКУ-данные через API.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Синхронизация всех сервисов идет через Common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Data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Layer - единая идентификация, единая база объектов, единая шина событий.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Сама платформа - это «личный кабинет недвижимости» пользователя, агрегирующий все, что он делает в экосистеме. Внутри нее: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Портфель недвижимости.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Все объекты пользователя в одном месте - собственное жилье, арендные объекты, доли в токенизированных лотах. По каждому объекту - текущая стоимость (через оценку Krisha), статус (свой, сдан в аренду, инвестиционный), история обслуживания.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Единая история сделок.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Все транзакции пользователя - покупки, продажи, эскроу, ипотечные платежи, страховые премии, покупки токенизированных долей, оплата криптой через CryptoPay. С привязкой к объектам и документами.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Доступ ко всем сервисам экосистемы.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Из одного места - переход в Krisha (поиск, п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родажа), в ACB (ипотека, эскроу, перевод), в Kaspi (ремонт), в ACG (страхование, продление полиса), в дочернюю структуру токенизации (покупка/продажа долей), в CryptoPay (оплата криптой). Каждый переход проходит со сквозной авторизацией без повторного KYC.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Единые уведомления и календарь.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Платежи по ипотеке, окончание страховых полисов, дивиденды по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токенизированным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долям, новые объявления по подписке, обновления стройки для off-plan-объектов, ЖКУ-счета. Все в одном потоке, без необходимости открывать каждый сервис отдельно.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5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Аналитика по объектам пользователя.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Динамика стоимости (через Krisha), доходность арендных объектов и инвестиционных долей, средние ЖКУ-расходы, рекомендации по экономии и реинвестированию.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1290"/>
                <wp:effectExtent l="0" t="0" r="0" b="381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ntitled (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2701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8.00pt;height:212.7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  <w:pBdr>
          <w:left w:val="single" w:color="1F4E79" w:sz="24" w:space="16"/>
        </w:pBdr>
      </w:pPr>
      <w:r>
        <w:rPr>
          <w:rFonts w:ascii="Golos Text" w:hAnsi="Golos Text" w:cs="Golos Text"/>
          <w:i/>
          <w:iCs/>
          <w:color w:val="000000" w:themeColor="text1"/>
          <w:sz w:val="24"/>
          <w:szCs w:val="24"/>
        </w:rPr>
        <w:t xml:space="preserve">Главный принцип: платформа не дублирует функциональность серв</w:t>
      </w:r>
      <w:r>
        <w:rPr>
          <w:rFonts w:ascii="Golos Text" w:hAnsi="Golos Text" w:cs="Golos Text"/>
          <w:i/>
          <w:iCs/>
          <w:color w:val="000000" w:themeColor="text1"/>
          <w:sz w:val="24"/>
          <w:szCs w:val="24"/>
        </w:rPr>
        <w:t xml:space="preserve">исов, а агрегирует ее. Krisha остается лучшим местом для поиска объекта, ACB - для оформления ипотеки, Kaspi - для покупки материалов. Платформа становится местом, где пользователь видит свою недвижимость целиком и переключается между сервисами без трения.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9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0" w:name="_Toc228984395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 Трансформация вертикалей: От бенчмарков к лидерству</w:t>
      </w:r>
      <w:bookmarkEnd w:id="10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 каждому функциональному блоку - что лучшего есть в мировом опыте и какие задачи нужно решить на стороне нашего актива, чтобы экосистема заработала.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1" w:name="_Toc228984396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5.1. Поиск и выбор (Krisha.kz)</w:t>
      </w:r>
      <w:bookmarkEnd w:id="11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Текущая роль Krisha.kz - крупнейшая в Казахстане платформа объявлений с миллионами просмотров в месяц. В экосистеме ее роль расширяется до Transaction-ready платформы - с верификацией объявлений, интегрированным эскроу и цифровыми сделками, по модели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Биография объекта (Zillow).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Полная история цен, налоговая история, история переходов прав собственности - из НАО «П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равительство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для граждан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» и КГД. Превращает листинг из доски объявлений в информационную платформу.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Публичная метрика точности оценки (Zestimate).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У Zillow медианная погрешность 1,83% для активных листингов.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Бэк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-тест ИИ-оценки Krisha на реальных сделках, разбивка по регионам, публичная страница. Стандарт доверия и API-продукт для банков.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Расширенная карточка с OSINT 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Интернет-провайдеры по адресу, материал стен, мусоропровод, сейсмика для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г.Алматы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Рейтинги ТОП-100 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Публичные ежеквартальные рейтинги застройщиков, агентств, подрядчиков. Превращает Krisha из доски в орган с регуляторным влиянием на рынок.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Подключение к Unified ID: пользователь Krisha верифицируется единым KYC, действующим во всех сервисах.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Встраивание точек входа в карточку объекта: «Получить ипотеку» (ACB), «Застраховать сделку» (ACG), «Купить долю» (токенизация), «Заплатить криптой» (CryptoPay), «Заказать ремонт» (Kaspi).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API-передача данных в общий Property Hub: объекты, цены, поведение пользователей, история объявлений.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Подписка на события сделок: при закрытии сделки через эскроу ACB - автоматическое снятие объявления.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Категория «Инвестиционные объекты» - отдельный фильтр для токенизированных лотов.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ind w:left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2" w:name="_Toc228984397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5.2. Сделка и финансирование (Alatau City Bank)</w:t>
      </w:r>
      <w:bookmarkEnd w:id="12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 самый сложный участник экосистемы по объему задач, но 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 самый доминирующий. ACB закрывает финансовый хребет: ипотеку, эскроу, юридическое сопровождение сделки, проектное финансирование. Через дочернюю структуру по статье 50 закона - направление цифровых активов и токенизации. Через CryptoPay - платежный шлюз.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Цифровая ипотека за 30 минут 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/Sber ID).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Заявка без повторного ввода данных,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подгрузка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из госуслуг, электронная подача. Дополнительн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ый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бенчмарк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Rocket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Mortgage с фокусом на скорость одобрения (8 минут до решения).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Эскроу за фиксированную цену с расширенным пакетом 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Базовый - регистрация в реестре + эскроу-счет. Расширенный - со страховкой при утрате права собственности.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Эскроу 2.0 - динамическая защита (Dubai Land Dept.).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Для off-plan: датчики на стройке, BIM-данные, автоматическая разблокировка средств по этапам. Если стройка останавливается - деньги тоже. Этот формат напрямую соответствует обязательному эскроу для off-plan по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дубайскому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стандарту.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ESG-кредиты для девелоперов (DBS, 2025).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«Зеленое» финансирование уже меняет условия выдачи кредитов застройщикам. Для девелоперов Alatau City - встречная выгода: дешевле проектное финансирование, быстрее продажи.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GenAI-скоринг (DBS).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Скоринг на основе реальных данных о поведении клиента - поисковые запросы Krisha, ЖКУ-платежи Алсеко/ЕРЦ.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единого цифрового идентификатора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Unified ID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для всей экосистемы как функции ACB. KYC через банк один раз - верификация во всех сервисах. Это задача №1 всего проекта.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базового ипотечного продукта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в том числе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под Alatau City.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эскроу для частных лиц с тарифной сеткой (базовый и расширенный пакеты).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Создание дочерней структуры-резидента Alatau City по статье 50 закона для операций с цифровыми активами.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Расширение CryptoPay на сценарии экосистемы: оплата квартиры, ЖКУ, ремонта, страховых премий, покупки токенизированных долей.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3" w:name="_Toc228984398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5.3. Страхование (Alatau City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Garant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bookmarkEnd w:id="13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Готовая страховая лицензия, операционная база, активы ТОП-8 рынка, 447 тысяч клиентов. В экосистеме ACG работает как сервисный участник: подключается к каждой сделке через Transaction Engine, снимает страховые риски всех этапов клиентского пути.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Титульное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страхование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  <w:lang w:val="en-US"/>
        </w:rPr>
        <w:t xml:space="preserve"> (First American Title).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Бессрочная страховка от рисков прошлой истории объекта - мошенничество, ошибки в реестре, неучтенные наследники. Снимает один из ключевых страхов покупателя на казахстанском рынке.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Гарантия страховки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Сберстрах/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Домклик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-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25 млн руб. при утрате права собственности).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Фиксированная страховая сумма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–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условные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30-50 млн тенге под средний чек РК. Базовый и расширенный пакеты с защитой в суде.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Страхование арендных рисков (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QuintoAndar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 Protection, Бразилия).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Гарантия оплаты собственнику и покрытие ущерба. Без этого продукта арендный сценарий в экосистеме не закрывается.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 для подключения к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Единому платежному шлюзу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Transaction Engine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: при закрытии сделки автоматически предлагать пакет страхования.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Подключение к Unified ID: полисы привязаны к идентификатору экосистемы.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трех новых продуктов: титульное страхование, страхование арендных рисков, страхование цифровых долей под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токенизацию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</w:rPr>
      </w:pPr>
      <w:r/>
      <w:bookmarkStart w:id="14" w:name="_Toc228984399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5.4. Сервис ЖКУ (Алсеко и ЕРЦ)</w:t>
      </w:r>
      <w:bookmarkEnd w:id="14"/>
      <w:r/>
      <w:r>
        <w:rPr>
          <w:rFonts w:ascii="Golos Text" w:hAnsi="Golos Text" w:cs="Golos Text"/>
          <w:color w:val="000000" w:themeColor="text1"/>
        </w:rPr>
      </w:r>
    </w:p>
    <w:p>
      <w:pPr>
        <w:pStyle w:val="730"/>
        <w:ind w:firstLine="709"/>
        <w:jc w:val="both"/>
        <w:spacing w:before="0" w:beforeAutospacing="0" w:after="0" w:afterAutospacing="0"/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Алсеко</w:t>
      </w:r>
      <w:r>
        <w:rPr>
          <w:rFonts w:ascii="Golos Text" w:hAnsi="Golos Text" w:cs="Golos Text"/>
          <w:color w:val="000000" w:themeColor="text1"/>
        </w:rPr>
        <w:t xml:space="preserve"> и </w:t>
      </w:r>
      <w:r>
        <w:rPr>
          <w:rFonts w:ascii="Golos Text" w:hAnsi="Golos Text" w:cs="Golos Text"/>
          <w:b/>
          <w:bCs/>
          <w:color w:val="000000" w:themeColor="text1"/>
        </w:rPr>
        <w:t xml:space="preserve">ЕРЦ</w:t>
      </w:r>
      <w:r>
        <w:rPr>
          <w:rFonts w:ascii="Golos Text" w:hAnsi="Golos Text" w:cs="Golos Text"/>
          <w:color w:val="000000" w:themeColor="text1"/>
        </w:rPr>
        <w:t xml:space="preserve"> обладают фундаментом для </w:t>
      </w:r>
      <w:r>
        <w:rPr>
          <w:rFonts w:ascii="Golos Text" w:hAnsi="Golos Text" w:cs="Golos Text"/>
          <w:color w:val="000000" w:themeColor="text1"/>
        </w:rPr>
        <w:t xml:space="preserve">PropTech</w:t>
      </w:r>
      <w:r>
        <w:rPr>
          <w:rFonts w:ascii="Golos Text" w:hAnsi="Golos Text" w:cs="Golos Text"/>
          <w:color w:val="000000" w:themeColor="text1"/>
        </w:rPr>
        <w:t xml:space="preserve"> - эксклюзивными данными о лицевых счетах, истории потребления и тарифах. Однако текущая операционная модель этих центров построена на </w:t>
      </w:r>
      <w:r>
        <w:rPr>
          <w:rFonts w:ascii="Golos Text" w:hAnsi="Golos Text" w:cs="Golos Text"/>
          <w:b/>
          <w:bCs/>
          <w:color w:val="000000" w:themeColor="text1"/>
        </w:rPr>
        <w:t xml:space="preserve">«</w:t>
      </w:r>
      <w:r>
        <w:rPr>
          <w:rFonts w:ascii="Golos Text" w:hAnsi="Golos Text" w:cs="Golos Text"/>
          <w:b/>
          <w:bCs/>
          <w:color w:val="000000" w:themeColor="text1"/>
        </w:rPr>
        <w:t xml:space="preserve">batch</w:t>
      </w:r>
      <w:r>
        <w:rPr>
          <w:rFonts w:ascii="Golos Text" w:hAnsi="Golos Text" w:cs="Golos Text"/>
          <w:b/>
          <w:bCs/>
          <w:color w:val="000000" w:themeColor="text1"/>
        </w:rPr>
        <w:t xml:space="preserve">-процессинге» (пакетной обработке)</w:t>
      </w:r>
      <w:r>
        <w:rPr>
          <w:rFonts w:ascii="Golos Text" w:hAnsi="Golos Text" w:cs="Golos Text"/>
          <w:color w:val="000000" w:themeColor="text1"/>
        </w:rPr>
        <w:t xml:space="preserve">. </w:t>
      </w:r>
      <w:r>
        <w:rPr>
          <w:rFonts w:ascii="Golos Text" w:hAnsi="Golos Text" w:cs="Golos Text"/>
          <w:color w:val="000000" w:themeColor="text1"/>
        </w:rPr>
        <w:t xml:space="preserve">Данные от поставщиков услуг (свет, вода, мусор) стекаются в систему в течение месяца.</w:t>
      </w:r>
      <w:r>
        <w:rPr>
          <w:rFonts w:ascii="Golos Text" w:hAnsi="Golos Text" w:cs="Golos Text"/>
          <w:color w:val="000000" w:themeColor="text1"/>
        </w:rPr>
        <w:t xml:space="preserve"> </w:t>
      </w:r>
      <w:r>
        <w:rPr>
          <w:rFonts w:ascii="Golos Text" w:hAnsi="Golos Text" w:cs="Golos Text"/>
          <w:color w:val="000000" w:themeColor="text1"/>
        </w:rPr>
        <w:t xml:space="preserve">Раз в месяц (или в неделю) запускается «тяжелый» скрипт, который обрабатывает весь этот массив за один раз.</w:t>
      </w:r>
      <w:r>
        <w:rPr>
          <w:rFonts w:ascii="Golos Text" w:hAnsi="Golos Text" w:cs="Golos Text"/>
          <w:color w:val="000000" w:themeColor="text1"/>
        </w:rPr>
        <w:t xml:space="preserve"> А</w:t>
      </w:r>
      <w:r>
        <w:rPr>
          <w:rFonts w:ascii="Golos Text" w:hAnsi="Golos Text" w:cs="Golos Text"/>
          <w:color w:val="000000" w:themeColor="text1"/>
        </w:rPr>
        <w:t xml:space="preserve">ктуальный баланс только в момент формирования квитанции. </w:t>
      </w:r>
      <w:r>
        <w:rPr>
          <w:rFonts w:ascii="Golos Text" w:hAnsi="Golos Text" w:cs="Golos Text"/>
          <w:color w:val="000000" w:themeColor="text1"/>
        </w:rPr>
        <w:t xml:space="preserve">Это</w:t>
      </w:r>
      <w:r>
        <w:rPr>
          <w:rFonts w:ascii="Golos Text" w:hAnsi="Golos Text" w:cs="Golos Text"/>
          <w:color w:val="000000" w:themeColor="text1"/>
        </w:rPr>
        <w:t xml:space="preserve"> делает невозможным моментальный обмен данными, необходимый для цифровой среды Alatau City. Без перехода к </w:t>
      </w:r>
      <w:r>
        <w:rPr>
          <w:rFonts w:ascii="Golos Text" w:hAnsi="Golos Text" w:cs="Golos Text"/>
          <w:color w:val="000000" w:themeColor="text1"/>
        </w:rPr>
        <w:t xml:space="preserve">Real-time</w:t>
      </w:r>
      <w:r>
        <w:rPr>
          <w:rFonts w:ascii="Golos Text" w:hAnsi="Golos Text" w:cs="Golos Text"/>
          <w:color w:val="000000" w:themeColor="text1"/>
        </w:rPr>
        <w:t xml:space="preserve"> API становятся невозможными динамический скоринг в </w:t>
      </w:r>
      <w:r>
        <w:rPr>
          <w:rFonts w:ascii="Golos Text" w:hAnsi="Golos Text" w:cs="Golos Text"/>
          <w:b/>
          <w:bCs/>
          <w:color w:val="000000" w:themeColor="text1"/>
        </w:rPr>
        <w:t xml:space="preserve">ACB</w:t>
      </w:r>
      <w:r>
        <w:rPr>
          <w:rFonts w:ascii="Golos Text" w:hAnsi="Golos Text" w:cs="Golos Text"/>
          <w:color w:val="000000" w:themeColor="text1"/>
        </w:rPr>
        <w:t xml:space="preserve">, мгновенная верификация объектов в </w:t>
      </w:r>
      <w:r>
        <w:rPr>
          <w:rFonts w:ascii="Golos Text" w:hAnsi="Golos Text" w:cs="Golos Text"/>
          <w:b/>
          <w:bCs/>
          <w:color w:val="000000" w:themeColor="text1"/>
        </w:rPr>
        <w:t xml:space="preserve">Krisha</w:t>
      </w:r>
      <w:r>
        <w:rPr>
          <w:rFonts w:ascii="Golos Text" w:hAnsi="Golos Text" w:cs="Golos Text"/>
          <w:color w:val="000000" w:themeColor="text1"/>
        </w:rPr>
        <w:t xml:space="preserve"> и бесшовная «миграция» владельца при сделке.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ind w:firstLine="709"/>
        <w:jc w:val="both"/>
        <w:spacing w:before="0" w:beforeAutospacing="0" w:after="0" w:afterAutospacing="0"/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color w:val="000000" w:themeColor="text1"/>
        </w:rPr>
        <w:t xml:space="preserve">Что взять из бенчмарков: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3"/>
        </w:numPr>
        <w:ind w:left="0" w:firstLine="709"/>
        <w:jc w:val="both"/>
        <w:spacing w:before="0" w:beforeAutospacing="0" w:after="0" w:afterAutospacing="0"/>
        <w:tabs>
          <w:tab w:val="left" w:pos="1134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  <w:lang w:val="en-US"/>
        </w:rPr>
        <w:t xml:space="preserve">Kraken Customer Platform (Octopus Energy).</w:t>
      </w:r>
      <w:r>
        <w:rPr>
          <w:rFonts w:ascii="Golos Text" w:hAnsi="Golos Text" w:cs="Golos Text"/>
          <w:color w:val="000000" w:themeColor="text1"/>
          <w:lang w:val="en-US"/>
        </w:rPr>
        <w:t xml:space="preserve"> </w:t>
      </w:r>
      <w:r>
        <w:rPr>
          <w:rFonts w:ascii="Golos Text" w:hAnsi="Golos Text" w:cs="Golos Text"/>
          <w:color w:val="000000" w:themeColor="text1"/>
        </w:rPr>
        <w:t xml:space="preserve">Переход от расчетного центра к высокотехнологичной платформе: единый интерфейс для </w:t>
      </w:r>
      <w:r>
        <w:rPr>
          <w:rFonts w:ascii="Golos Text" w:hAnsi="Golos Text" w:cs="Golos Text"/>
          <w:color w:val="000000" w:themeColor="text1"/>
        </w:rPr>
        <w:t xml:space="preserve">биллинга</w:t>
      </w:r>
      <w:r>
        <w:rPr>
          <w:rFonts w:ascii="Golos Text" w:hAnsi="Golos Text" w:cs="Golos Text"/>
          <w:color w:val="000000" w:themeColor="text1"/>
        </w:rPr>
        <w:t xml:space="preserve">, CRM и глубокой аналитики. Результат - кратное масштабирование: один оператор обслуживает в 5 раз больше клиентов, стоимость обслуживания (cost-to-serve) падает на 40%, а лояльность (NPS) растет на 20%.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3"/>
        </w:numPr>
        <w:ind w:left="0" w:firstLine="709"/>
        <w:jc w:val="both"/>
        <w:spacing w:before="0" w:beforeAutospacing="0" w:after="0" w:afterAutospacing="0"/>
        <w:tabs>
          <w:tab w:val="left" w:pos="1134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AI-операционная система (Kraken).</w:t>
      </w:r>
      <w:r>
        <w:rPr>
          <w:rFonts w:ascii="Golos Text" w:hAnsi="Golos Text" w:cs="Golos Text"/>
          <w:color w:val="000000" w:themeColor="text1"/>
        </w:rPr>
        <w:t xml:space="preserve"> Использование </w:t>
      </w:r>
      <w:r>
        <w:rPr>
          <w:rFonts w:ascii="Golos Text" w:hAnsi="Golos Text" w:cs="Golos Text"/>
          <w:color w:val="000000" w:themeColor="text1"/>
        </w:rPr>
        <w:t xml:space="preserve">нейросетей</w:t>
      </w:r>
      <w:r>
        <w:rPr>
          <w:rFonts w:ascii="Golos Text" w:hAnsi="Golos Text" w:cs="Golos Text"/>
          <w:color w:val="000000" w:themeColor="text1"/>
        </w:rPr>
        <w:t xml:space="preserve"> для клиентского сервиса и предиктивного анализа данных. Позволяет прогнозировать нагрузку на сети и автоматизировать коммуникации с жителями.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3"/>
        </w:numPr>
        <w:ind w:left="0" w:firstLine="709"/>
        <w:jc w:val="both"/>
        <w:spacing w:before="0" w:beforeAutospacing="0" w:after="0" w:afterAutospacing="0"/>
        <w:tabs>
          <w:tab w:val="left" w:pos="1134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KrakenFlex (</w:t>
      </w:r>
      <w:r>
        <w:rPr>
          <w:rFonts w:ascii="Golos Text" w:hAnsi="Golos Text" w:cs="Golos Text"/>
          <w:b/>
          <w:bCs/>
          <w:color w:val="000000" w:themeColor="text1"/>
        </w:rPr>
        <w:t xml:space="preserve">Demand</w:t>
      </w:r>
      <w:r>
        <w:rPr>
          <w:rFonts w:ascii="Golos Text" w:hAnsi="Golos Text" w:cs="Golos Text"/>
          <w:b/>
          <w:bCs/>
          <w:color w:val="000000" w:themeColor="text1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</w:rPr>
        <w:t xml:space="preserve">Response</w:t>
      </w:r>
      <w:r>
        <w:rPr>
          <w:rFonts w:ascii="Golos Text" w:hAnsi="Golos Text" w:cs="Golos Text"/>
          <w:b/>
          <w:bCs/>
          <w:color w:val="000000" w:themeColor="text1"/>
        </w:rPr>
        <w:t xml:space="preserve">).</w:t>
      </w:r>
      <w:r>
        <w:rPr>
          <w:rFonts w:ascii="Golos Text" w:hAnsi="Golos Text" w:cs="Golos Text"/>
          <w:color w:val="000000" w:themeColor="text1"/>
        </w:rPr>
        <w:t xml:space="preserve"> Инструмент для управления «умной» инфраструктурой города: интеграция домашних аккумуляторов, </w:t>
      </w:r>
      <w:r>
        <w:rPr>
          <w:rFonts w:ascii="Golos Text" w:hAnsi="Golos Text" w:cs="Golos Text"/>
          <w:color w:val="000000" w:themeColor="text1"/>
        </w:rPr>
        <w:t xml:space="preserve">IoT</w:t>
      </w:r>
      <w:r>
        <w:rPr>
          <w:rFonts w:ascii="Golos Text" w:hAnsi="Golos Text" w:cs="Golos Text"/>
          <w:color w:val="000000" w:themeColor="text1"/>
        </w:rPr>
        <w:t xml:space="preserve">-устройств и динамического ценообразования (</w:t>
      </w:r>
      <w:r>
        <w:rPr>
          <w:rFonts w:ascii="Golos Text" w:hAnsi="Golos Text" w:cs="Golos Text"/>
          <w:b/>
          <w:bCs/>
          <w:color w:val="000000" w:themeColor="text1"/>
        </w:rPr>
        <w:t xml:space="preserve">time-of-use</w:t>
      </w:r>
      <w:r>
        <w:rPr>
          <w:rFonts w:ascii="Golos Text" w:hAnsi="Golos Text" w:cs="Golos Text"/>
          <w:b/>
          <w:bCs/>
          <w:color w:val="000000" w:themeColor="text1"/>
        </w:rPr>
        <w:t xml:space="preserve"> pricing</w:t>
      </w:r>
      <w:r>
        <w:rPr>
          <w:rFonts w:ascii="Golos Text" w:hAnsi="Golos Text" w:cs="Golos Text"/>
          <w:color w:val="000000" w:themeColor="text1"/>
        </w:rPr>
        <w:t xml:space="preserve">). Это ключевой элемент для Alatau City как пилотной зоны Smart City.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14"/>
        <w:ind w:firstLine="709"/>
        <w:jc w:val="both"/>
        <w:rPr>
          <w:rFonts w:ascii="Golos Text" w:hAnsi="Golos Text" w:cs="Golos Text"/>
          <w:b/>
          <w:i w:val="0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i w:val="0"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i w:val="0"/>
          <w:color w:val="000000" w:themeColor="text1"/>
          <w:sz w:val="24"/>
          <w:szCs w:val="24"/>
        </w:rPr>
      </w:r>
    </w:p>
    <w:p>
      <w:pPr>
        <w:pStyle w:val="730"/>
        <w:numPr>
          <w:ilvl w:val="0"/>
          <w:numId w:val="4"/>
        </w:numPr>
        <w:ind w:left="0" w:firstLine="709"/>
        <w:jc w:val="both"/>
        <w:spacing w:before="0" w:beforeAutospacing="0" w:after="0" w:afterAutospacing="0"/>
        <w:tabs>
          <w:tab w:val="left" w:pos="993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Создание</w:t>
      </w:r>
      <w:r>
        <w:rPr>
          <w:rFonts w:ascii="Golos Text" w:hAnsi="Golos Text" w:cs="Golos Text"/>
          <w:b/>
          <w:bCs/>
          <w:color w:val="000000" w:themeColor="text1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  <w:lang w:val="en-US"/>
        </w:rPr>
        <w:t xml:space="preserve">API</w:t>
      </w:r>
      <w:r>
        <w:rPr>
          <w:rFonts w:ascii="Golos Text" w:hAnsi="Golos Text" w:cs="Golos Text"/>
          <w:b/>
          <w:bCs/>
          <w:color w:val="000000" w:themeColor="text1"/>
        </w:rPr>
        <w:t xml:space="preserve">-</w:t>
      </w:r>
      <w:r>
        <w:rPr>
          <w:rFonts w:ascii="Golos Text" w:hAnsi="Golos Text" w:cs="Golos Text"/>
          <w:b/>
          <w:bCs/>
          <w:color w:val="000000" w:themeColor="text1"/>
        </w:rPr>
        <w:t xml:space="preserve">шлюза</w:t>
      </w:r>
      <w:r>
        <w:rPr>
          <w:rFonts w:ascii="Golos Text" w:hAnsi="Golos Text" w:cs="Golos Text"/>
          <w:b/>
          <w:bCs/>
          <w:color w:val="000000" w:themeColor="text1"/>
        </w:rPr>
        <w:t xml:space="preserve">.</w:t>
      </w:r>
      <w:r>
        <w:rPr>
          <w:rFonts w:ascii="Golos Text" w:hAnsi="Golos Text" w:cs="Golos Text"/>
          <w:color w:val="000000" w:themeColor="text1"/>
        </w:rPr>
        <w:t xml:space="preserve"> </w:t>
      </w:r>
      <w:r>
        <w:rPr>
          <w:rFonts w:ascii="Golos Text" w:hAnsi="Golos Text" w:cs="Golos Text"/>
          <w:color w:val="000000" w:themeColor="text1"/>
        </w:rPr>
        <w:t xml:space="preserve">Разработка промежуточного слоя над текущими </w:t>
      </w:r>
      <w:r>
        <w:rPr>
          <w:rFonts w:ascii="Golos Text" w:hAnsi="Golos Text" w:cs="Golos Text"/>
          <w:color w:val="000000" w:themeColor="text1"/>
        </w:rPr>
        <w:t xml:space="preserve">биллингами</w:t>
      </w:r>
      <w:r>
        <w:rPr>
          <w:rFonts w:ascii="Golos Text" w:hAnsi="Golos Text" w:cs="Golos Text"/>
          <w:color w:val="000000" w:themeColor="text1"/>
        </w:rPr>
        <w:t xml:space="preserve"> как паллиативное решение для мгновенного «чтения» данных экосистемой. </w:t>
      </w:r>
      <w:r>
        <w:rPr>
          <w:rFonts w:ascii="Golos Text" w:hAnsi="Golos Text" w:cs="Golos Text"/>
          <w:color w:val="000000" w:themeColor="text1"/>
        </w:rPr>
        <w:t xml:space="preserve">Вместо накопления данных создается «цифровой шлюз». Как только в базе Алсеко меняется одна цифра по конкретному лицевому счету, она тут же становится доступна по запросу извне (от ACB или Krisha).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4"/>
        </w:numPr>
        <w:ind w:left="0" w:firstLine="709"/>
        <w:jc w:val="both"/>
        <w:spacing w:before="0" w:beforeAutospacing="0" w:after="0" w:afterAutospacing="0"/>
        <w:tabs>
          <w:tab w:val="left" w:pos="993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Ликвидация «цифровых островов».</w:t>
      </w:r>
      <w:r>
        <w:rPr>
          <w:rFonts w:ascii="Golos Text" w:hAnsi="Golos Text" w:cs="Golos Text"/>
          <w:color w:val="000000" w:themeColor="text1"/>
        </w:rPr>
        <w:t xml:space="preserve"> Унификация справочников и протоколов обмена данными между Алсеко и ЕРЦ для создания единого информационного пространства. </w:t>
      </w:r>
      <w:r>
        <w:rPr>
          <w:rFonts w:ascii="Golos Text" w:hAnsi="Golos Text" w:cs="Golos Text"/>
          <w:color w:val="000000" w:themeColor="text1"/>
        </w:rPr>
        <w:t xml:space="preserve">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4"/>
        </w:numPr>
        <w:ind w:left="0" w:firstLine="709"/>
        <w:jc w:val="both"/>
        <w:spacing w:before="0" w:beforeAutospacing="0" w:after="0" w:afterAutospacing="0"/>
        <w:tabs>
          <w:tab w:val="left" w:pos="993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Property Hub &amp; </w:t>
      </w:r>
      <w:r>
        <w:rPr>
          <w:rFonts w:ascii="Golos Text" w:hAnsi="Golos Text" w:cs="Golos Text"/>
          <w:b/>
          <w:bCs/>
          <w:color w:val="000000" w:themeColor="text1"/>
        </w:rPr>
        <w:t xml:space="preserve">Data</w:t>
      </w:r>
      <w:r>
        <w:rPr>
          <w:rFonts w:ascii="Golos Text" w:hAnsi="Golos Text" w:cs="Golos Text"/>
          <w:b/>
          <w:bCs/>
          <w:color w:val="000000" w:themeColor="text1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</w:rPr>
        <w:t xml:space="preserve">Enrichment</w:t>
      </w:r>
      <w:r>
        <w:rPr>
          <w:rFonts w:ascii="Golos Text" w:hAnsi="Golos Text" w:cs="Golos Text"/>
          <w:b/>
          <w:bCs/>
          <w:color w:val="000000" w:themeColor="text1"/>
        </w:rPr>
        <w:t xml:space="preserve">.</w:t>
      </w:r>
      <w:r>
        <w:rPr>
          <w:rFonts w:ascii="Golos Text" w:hAnsi="Golos Text" w:cs="Golos Text"/>
          <w:color w:val="000000" w:themeColor="text1"/>
        </w:rPr>
        <w:t xml:space="preserve"> Агрегация обезличенной истории платежей и долговой нагрузки по каждому адресу. Это создает мощный </w:t>
      </w:r>
      <w:r>
        <w:rPr>
          <w:rFonts w:ascii="Golos Text" w:hAnsi="Golos Text" w:cs="Golos Text"/>
          <w:color w:val="000000" w:themeColor="text1"/>
        </w:rPr>
        <w:t xml:space="preserve">антифрод</w:t>
      </w:r>
      <w:r>
        <w:rPr>
          <w:rFonts w:ascii="Golos Text" w:hAnsi="Golos Text" w:cs="Golos Text"/>
          <w:color w:val="000000" w:themeColor="text1"/>
        </w:rPr>
        <w:t xml:space="preserve">-фактор для </w:t>
      </w:r>
      <w:r>
        <w:rPr>
          <w:rFonts w:ascii="Golos Text" w:hAnsi="Golos Text" w:cs="Golos Text"/>
          <w:b/>
          <w:bCs/>
          <w:color w:val="000000" w:themeColor="text1"/>
        </w:rPr>
        <w:t xml:space="preserve">Krisha</w:t>
      </w:r>
      <w:r>
        <w:rPr>
          <w:rFonts w:ascii="Golos Text" w:hAnsi="Golos Text" w:cs="Golos Text"/>
          <w:color w:val="000000" w:themeColor="text1"/>
        </w:rPr>
        <w:t xml:space="preserve"> и уникальный параметр поведенческого скоринга для </w:t>
      </w:r>
      <w:r>
        <w:rPr>
          <w:rFonts w:ascii="Golos Text" w:hAnsi="Golos Text" w:cs="Golos Text"/>
          <w:b/>
          <w:bCs/>
          <w:color w:val="000000" w:themeColor="text1"/>
        </w:rPr>
        <w:t xml:space="preserve">ACB</w:t>
      </w:r>
      <w:r>
        <w:rPr>
          <w:rFonts w:ascii="Golos Text" w:hAnsi="Golos Text" w:cs="Golos Text"/>
          <w:color w:val="000000" w:themeColor="text1"/>
        </w:rPr>
        <w:t xml:space="preserve">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4"/>
        </w:numPr>
        <w:ind w:left="0" w:firstLine="709"/>
        <w:jc w:val="both"/>
        <w:spacing w:before="0" w:beforeAutospacing="0" w:after="0" w:afterAutospacing="0"/>
        <w:tabs>
          <w:tab w:val="left" w:pos="993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Событийно-ориентированная интеграция.</w:t>
      </w:r>
      <w:r>
        <w:rPr>
          <w:rFonts w:ascii="Golos Text" w:hAnsi="Golos Text" w:cs="Golos Text"/>
          <w:color w:val="000000" w:themeColor="text1"/>
        </w:rPr>
        <w:t xml:space="preserve"> Настройка подписки </w:t>
      </w:r>
      <w:r>
        <w:rPr>
          <w:rFonts w:ascii="Golos Text" w:hAnsi="Golos Text" w:cs="Golos Text"/>
          <w:color w:val="000000" w:themeColor="text1"/>
        </w:rPr>
        <w:t xml:space="preserve">биллинговых</w:t>
      </w:r>
      <w:r>
        <w:rPr>
          <w:rFonts w:ascii="Golos Text" w:hAnsi="Golos Text" w:cs="Golos Text"/>
          <w:color w:val="000000" w:themeColor="text1"/>
        </w:rPr>
        <w:t xml:space="preserve"> систем на события </w:t>
      </w:r>
      <w:r>
        <w:rPr>
          <w:rFonts w:ascii="Golos Text" w:hAnsi="Golos Text" w:cs="Golos Text"/>
          <w:b/>
          <w:bCs/>
          <w:color w:val="000000" w:themeColor="text1"/>
        </w:rPr>
        <w:t xml:space="preserve">Transaction Engine</w:t>
      </w:r>
      <w:r>
        <w:rPr>
          <w:rFonts w:ascii="Golos Text" w:hAnsi="Golos Text" w:cs="Golos Text"/>
          <w:color w:val="000000" w:themeColor="text1"/>
        </w:rPr>
        <w:t xml:space="preserve">. При закрытии сделки купли-продажи переоформление лицевого счета и смена владельца в квитанции должны происходить автоматически и мгновенно.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30"/>
        <w:numPr>
          <w:ilvl w:val="0"/>
          <w:numId w:val="4"/>
        </w:numPr>
        <w:ind w:left="0" w:firstLine="709"/>
        <w:jc w:val="both"/>
        <w:spacing w:before="0" w:beforeAutospacing="0" w:after="0" w:afterAutospacing="0"/>
        <w:tabs>
          <w:tab w:val="left" w:pos="993" w:leader="none"/>
        </w:tabs>
        <w:rPr>
          <w:rFonts w:ascii="Golos Text" w:hAnsi="Golos Text" w:cs="Golos Text"/>
          <w:color w:val="000000" w:themeColor="text1"/>
        </w:rPr>
      </w:pPr>
      <w:r>
        <w:rPr>
          <w:rFonts w:ascii="Golos Text" w:hAnsi="Golos Text" w:cs="Golos Text"/>
          <w:b/>
          <w:bCs/>
          <w:color w:val="000000" w:themeColor="text1"/>
        </w:rPr>
        <w:t xml:space="preserve">Интеграция в Unified ID.</w:t>
      </w:r>
      <w:r>
        <w:rPr>
          <w:rFonts w:ascii="Golos Text" w:hAnsi="Golos Text" w:cs="Golos Text"/>
          <w:color w:val="000000" w:themeColor="text1"/>
        </w:rPr>
        <w:t xml:space="preserve"> Включение ЖКУ-сервисов в систему сквозной авторизации экосистемы для устранения барьеров при входе в личный кабинет жителя. </w:t>
      </w:r>
      <w:r>
        <w:rPr>
          <w:rFonts w:ascii="Golos Text" w:hAnsi="Golos Text" w:cs="Golos Text"/>
          <w:color w:val="000000" w:themeColor="text1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5" w:name="_Toc228984400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5.5.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Lifestyle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-сервисы и обустройство (Kaspi)</w:t>
      </w:r>
      <w:bookmarkEnd w:id="15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Kaspi - самый зрелый игрок экосистемы по операционной готовности. 14 миллионов пользовате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лей, daily-частота касания, готовая логистика стройматериалов и мебели, рассрочка как массовый продукт, статус фактического стандарта расчетов в РК. В экосистеме Kaspi закрывает пост-сделочные расходы - 15-25% от стоимости объекта на ремонт и обустройство.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Beike Home Renovation.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Полный сервис ремонта «под ключ»: дизайн, расчет стоимости, выбор материалов, строительство, сдача объекта. Бренды Beiwo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Shengdu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ИИ-визуализация дизайна на план квартиры.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Связка с банковской ипотекой (Beike + китайские банки).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Кредит на ремонт привязан к ипотеке: одобрили ипотеку - сразу одобрили кредит на ремонт под выгодную ставку.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AR-визуализация мебели (IKEA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Place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Виртуальная примерка мебели по фото комнаты с проекцией в дополненной реальности.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выделенной вертикали «Дом» в Kaspi Магазине с подбором материалов и мебели по типу объекта и стадии ремонта.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Пакет «Подготовка к переезду» - автоматическое предложение после покупки квартиры через экосистему: смета на ремонт под параметры квартиры, материалы, рассрочка от Kaspi или кредит на ремонт от ACB.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Маркетплейс верифицированных бригад с эскроу-оплатой через ACB - мастер получает деньги после подтверждения приемки этапа.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API-интеграция с Common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Data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Layer для получения событий сделок.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Передача обезличенных данных платежной дисциплины в Property Hub - для скоринга ACB.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Опция CryptoPay в Kaspi Магазине.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jc w:val="both"/>
        <w:tabs>
          <w:tab w:val="left" w:pos="1134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6" w:name="_Toc228984401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5.6. Инвестиции - токенизация недвижимости</w:t>
      </w:r>
      <w:bookmarkEnd w:id="16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 полностью новое направление, реализующее государственный приоритет CryptoCity. Прямой аналог - Prypco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Mint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Дубае: вход от $545,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токены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блокчейне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с прямой связкой с государственным реестром DLD,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ARVAs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-модель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Asset-Referenced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Virtual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Assets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 с двухслойной регуляцией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+ правовая обертка).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Юридический фундамент уже есть - статья 66 пункт 3 Конституционного закона прямо закрепляет блокчейн-кадастр прав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на недвижимость, статья 50 пункты 3-4 разрешают банкам создавать дочерние структуры-резиденты Alatau City для операций с цифровыми активами. В феврале 2026 года НБ РК запустил пилот токенизации коммерческой недвижимости - регуляторная позиция сформирована.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Prypco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Mint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 (Дубай).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Минимальный вход - порядка $500-1000. Прямая синхронизация блокчейн-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токенов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с государственным реестром. Партнерская архитектура: реестр +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fintech-фронтенд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+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-партнер + банк-расчетчик + регулятор.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DBS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Digital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Exchange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 (Сингапур).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Институциональная биржа цифровых активов под банком, лицензия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Recognised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Market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Operator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от MAS. Формат для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аккредитованных и институциональных инвесторов на старте, расширение в массовую розницу - после регуляторного созревания.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запуска: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Создание дочерней структуры-резидента Alatau City по статье 50 закона.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Юридическая модель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ARVAs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для Казахстана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(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 «мостик» между реальным физическим активом (недвижимостью) и цифровым миром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: подзаконные акты Администрации Alatau City, налоговый режим SPV, стандарты цифрового эскроу.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Связка с государственным кадастром: технический и юридический мост между блокчейн-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токеном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записью в реестре.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Выбор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tech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-партнера для блокчейн-инфраструктуры (по образцу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Ctrl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Alt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Prypco).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Запуск пилотного объекта в Alatau City - токенизация Iconic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Towers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как понятный инструмент для глобальных инвесторов.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Категория «Инвестиционные объекты» в Krisha как канал массовой дистрибуции.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Страхование цифровых долей через ACG.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Корейское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roadshow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как канал привлечения международных инвесторов: предметная повестка по Smart City,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Green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Energy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Modular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Construction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ind w:left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7" w:name="_Toc228984402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5.7. ConTech - стандарты цифрового строительства</w:t>
      </w:r>
      <w:bookmarkEnd w:id="17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 самая ранняя ветка по г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отовности. Девелоперы Alatau City есть как пилотные площадки, но единых цифровых стандартов пока нет. При этом ConTech - фундамент Эскроу 2.0 (нужны BIM-данные о ходе стройки) и токенизации на этапе строительства (нужен прозрачный прогресс для инвесторов).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взять из бенчмарков: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Procore</w:t>
      </w: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Единая среда для застройщика и подрядчиков: управление проектами, безопасностью, финансами, документооборотом, BIM-моделями в одной платформе. Интеграция с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Autodesk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Bentley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Revit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Dubai Land Department.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Государственный цифровой кадастр + REES + удаленная регистрация. Это та модель, которую мы можем реализовать в Alatau City напрямую - статья 66 пункт 3 закона уже дает правовую рамку.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bCs/>
          <w:color w:val="000000" w:themeColor="text1"/>
          <w:sz w:val="24"/>
          <w:szCs w:val="24"/>
        </w:rPr>
        <w:t xml:space="preserve">Модульное строительство (Сингапур, Швеция).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 Сингапуре обязательно с 2014 года, доля 39% нового жилья, продуктивность +50%. В Швеции более 30% нового жилья, стоимость минус 19%. Глобальный рынок модульного строительства растет с $180 млрд в 2022 до $540 млрд к 2040 году (CAGR 6%).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сделать для встраивания в экосистему: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Утверждение BIM как обязательного стандарта для застройщиков периметра Alatau City.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Подзаконные акты Администрации Alatau City: порядок ведения блокчейн-кадастра, стандарты цифрового эскроу для off-plan.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API-интеграция платформы ConTech с Common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Data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Layer: прогресс стройки, BIM-данные, статусы этапов.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Связка с Transaction Engine: данные о прогрессе стройки автоматически разблокируют средства в эскроу 2.0 через смарт-контракты.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2"/>
        <w:ind w:firstLine="709"/>
        <w:jc w:val="both"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8" w:name="_Toc228984403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5.8.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Data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Strategy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: Единый слой данных и Identity-сервис</w:t>
      </w:r>
      <w:bookmarkEnd w:id="18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Это слой, которого пока нет. При этом без него экосистема не работает как экосистема. Эталоны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Aadhaar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India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Stack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(государственная инфраструктура идентификации с биометрической верификацией для 1,3 млрд населения) и Open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Banking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ЕС/Великобритании (стандарт обмена данными между игроками через единый API). Дополнительно - REA Group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PropTrack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как модель монетизации данных через подписки для банков и страховых.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b/>
          <w:color w:val="000000" w:themeColor="text1"/>
          <w:sz w:val="24"/>
          <w:szCs w:val="24"/>
        </w:rPr>
      </w:pPr>
      <w:r>
        <w:rPr>
          <w:rFonts w:ascii="Golos Text" w:hAnsi="Golos Text" w:cs="Golos Text"/>
          <w:b/>
          <w:color w:val="000000" w:themeColor="text1"/>
          <w:sz w:val="24"/>
          <w:szCs w:val="24"/>
        </w:rPr>
        <w:t xml:space="preserve">Что нужно построить:</w:t>
      </w:r>
      <w:r>
        <w:rPr>
          <w:rFonts w:ascii="Golos Text" w:hAnsi="Golos Text" w:cs="Golos Text"/>
          <w:b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Unified ID + KYC: сквозная авторизация, источник KYC - ACB, потребители identity - все остальные через API.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Property Hub: единая база объектов, обогащаемая данными от Krisha, НАО «Правительство для граждан», Алсеко/ЕРЦ, ACB.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Transaction Engine: событийная шина для расчетов,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фиат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-крипто шлюз через CryptoPay.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Analytics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-слой как самостоятельный B2B-продукт по модели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PropTrack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подписки для НБК, АРРФР, банков второго уровня, страховых.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API-стандарты, протоколы аутентификации, юридическая модель владения данными, GDPR-совместимость.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1134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Архитектура с прицелом на Open API - на горизонте 12-18 месяцев отдельные сервисы (например, скоринг через комбинированные данные) могут открываться для внешних участников рынка по модели Open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Banking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 Это снимает антимонопольный риск и превращает экосистему в потенциальный национальный стандарт.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  <w:pBdr>
          <w:left w:val="single" w:color="1F4E79" w:sz="24" w:space="16"/>
        </w:pBdr>
      </w:pPr>
      <w:r>
        <w:rPr>
          <w:rFonts w:ascii="Golos Text" w:hAnsi="Golos Text" w:cs="Golos Text"/>
          <w:i/>
          <w:iCs/>
          <w:color w:val="000000" w:themeColor="text1"/>
          <w:sz w:val="24"/>
          <w:szCs w:val="24"/>
        </w:rPr>
        <w:t xml:space="preserve">Из всех задач этого документа Unified ID - самый критичный. Без Unified ID каждый сервис работает изолированно.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8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19" w:name="_Toc228984404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6. Роль SANA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Holding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в проекте</w:t>
      </w:r>
      <w:bookmarkEnd w:id="19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Восемь функциональных блоков, несколько команд участников, десятки регуляторных и технических задач. Без отдельного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фасилитатора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экосистема не сложится - у каждого участника свои приоритеты, скорости работы, культуры принятия решений. Kaspi работает в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product-first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логике с быстрыми циклами, ACB - в банковской логике согласований и риск-менеджмента. Эти культуры будут конфликтовать на операционном уровне.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SANA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Holding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независимая компания акционера, занимающаяся исследованиями, медиа и PR-продвижением. SANA имеет независимую позицию по отношению к финансовой группе и операционным сервисам. Как предложение – рассмотреть холдинг как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фасилитатора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 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Из текущих компетенций SANA вытекают несколько конкретных ролей, которые ни один из операционных участников не может закрыть собственными силами.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1. Социологическое сопровождение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Три в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олны исследований через модуль ADAM: покупатели жилья (мотивация, барьеры, готовность к цифровым инструментам), девелоперы (почему серые схемы, что нужно для перехода на эскроу), будущие резиденты Alatau City (ожидания, страхи, информированность о законе).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Зачем это экосистеме: Kaspi и ACB строят продукты на основе предположений о пользователе. SANA дает фактуру - реальные данные о поведении и мотивации. Без этого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product-market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fit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не найти.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2. Нормативное строительство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Закон принят, но для практической реализации Proptech 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ужны подзаконные акты Администрации Alatau City, которых пока не существует: порядок ведения блокчейн-кадастра, процедура регуляторной лицензии для операций с цифровыми активами, налоговый режим для SPV-токенизации, стандарты цифрового эскроу для off-plan.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Зачем это экосистеме: проектный офис строит платформу,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но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если нормативной базы нет - платформа не запустится. SANA имеет компетенции для подготовки этих актов.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3. GR-сопровождение 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Продажа идеи Proptech на уровне ключевых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стейкхолдеров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Правительство, АРРФР,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акима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т.д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 Аналитические записки, сопровождение рабочих групп, прогноз регуляторных рисков.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Если это не продано на уровне Правительства и АРРФР, ничего не заработает. SANA готовит аргументацию под каждого: для АРРФР - язык регуляторной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sandbox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и снижения системных рисков, для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акимата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рабочие места, налоги, имидж города, для Правительства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цифровизация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экономики, борьба с серым рынком, перевод 12 трлн тенге в прозрачный контур.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4. Нейтральный </w:t>
      </w:r>
      <w:r>
        <w:rPr>
          <w:rFonts w:ascii="Golos Text" w:hAnsi="Golos Text" w:cs="Golos Text"/>
          <w:b/>
          <w:sz w:val="24"/>
          <w:szCs w:val="24"/>
        </w:rPr>
        <w:t xml:space="preserve">фасилитатор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Нейтральный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фасилитатор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между двумя командами с разной ДНК.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Kaspi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быстрые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, product-first,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метрики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, agile.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ACB - банкиры, согласования, риск-менеджмент, комитеты. Эти культуры конфликтуют на операционном уровне.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Конкретно: разработка операционной модели взаимодействия - кто принимает какие решения, как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эскалируются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конфликты, что проходит через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SANA как буфер. Регулярные KPI-синхронизации, архитектурный совет с представителями всех команд.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5. Медиа-стратегия для граждан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Объяснение новых финансовых инструментов широкой аудитории - что такое эскроу, как работает токенизация, почему Alatau City это возможность, а не риск. Форматы: видео, медиа,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инфографика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прямые эфиры.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Proptech-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суперапп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провалится, если граждане будут воспринимать эскроу как «банк забирает деньги», а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токенизацию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как «непонятная крипта». Доверие строится не продуктом - оно строится нарративом. У SANA есть медиа-компетенция для этой задачи.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8"/>
        <w:rPr>
          <w:rFonts w:ascii="Golos Text" w:hAnsi="Golos Text" w:cs="Golos Text"/>
          <w:b/>
          <w:sz w:val="24"/>
          <w:szCs w:val="24"/>
        </w:rPr>
      </w:pPr>
      <w:r>
        <w:rPr>
          <w:rFonts w:ascii="Golos Text" w:hAnsi="Golos Text" w:cs="Golos Text"/>
          <w:b/>
          <w:sz w:val="24"/>
          <w:szCs w:val="24"/>
        </w:rPr>
        <w:t xml:space="preserve">6. Международные инвесторы - упаковка и </w:t>
      </w:r>
      <w:r>
        <w:rPr>
          <w:rFonts w:ascii="Golos Text" w:hAnsi="Golos Text" w:cs="Golos Text"/>
          <w:b/>
          <w:sz w:val="24"/>
          <w:szCs w:val="24"/>
        </w:rPr>
        <w:t xml:space="preserve">roadshow</w:t>
      </w:r>
      <w:r>
        <w:rPr>
          <w:rFonts w:ascii="Golos Text" w:hAnsi="Golos Text" w:cs="Golos Text"/>
          <w:b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Подготовка инвестиционного нарратива Alatau City для корейских партнеров, структурирование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офферов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(Smart City,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Green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Energy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,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Modular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Construction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), организация формата встреч. Подготовка верифицированного отчета об инвестиционном потенциале.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Корейское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roadshow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обозначено как ключевая точка привлечения международных инвесторов - ни ACB, ни Kaspi не имеют ресурса на упаковку международного нарратива. Это типовая задача SANA как структуры исследований и PR-продвижения.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Чтобы не было путаницы, граница между Kaspi/ACB и SANA должна быть четкой: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860"/>
      </w:tblGrid>
      <w:tr>
        <w:tblPrEx/>
        <w:trPr>
          <w:tblHeader/>
        </w:trPr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0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ffffff" w:themeColor="background1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Cs w:val="24"/>
              </w:rPr>
              <w:t xml:space="preserve">Зона</w:t>
            </w:r>
            <w:r>
              <w:rPr>
                <w:rFonts w:ascii="Golos Text" w:hAnsi="Golos Text" w:cs="Golos Text"/>
                <w:color w:val="ffffff" w:themeColor="background1"/>
                <w:szCs w:val="24"/>
              </w:rPr>
            </w:r>
          </w:p>
        </w:tc>
        <w:tc>
          <w:tcPr>
            <w:shd w:val="clear" w:color="auto" w:fill="1f3864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6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ffffff" w:themeColor="background1"/>
                <w:szCs w:val="24"/>
              </w:rPr>
            </w:pPr>
            <w:r>
              <w:rPr>
                <w:rFonts w:ascii="Golos Text" w:hAnsi="Golos Text" w:cs="Golos Text"/>
                <w:b/>
                <w:bCs/>
                <w:color w:val="ffffff" w:themeColor="background1"/>
                <w:szCs w:val="24"/>
              </w:rPr>
              <w:t xml:space="preserve">Закрывает</w:t>
            </w:r>
            <w:r>
              <w:rPr>
                <w:rFonts w:ascii="Golos Text" w:hAnsi="Golos Text" w:cs="Golos Text"/>
                <w:color w:val="ffffff" w:themeColor="background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0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UX 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суперапп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, потребительский скоринг, 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маркетплейс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, процессинг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 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6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Kaspi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0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Банковский продукт, ипотека, эскроу, проектное финансирование, дочерняя структура цифровых активов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6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ACB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650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Социология, нормативное строительство, GR, медиа, международная упаковка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860" w:type="dxa"/>
            <w:textDirection w:val="lrTb"/>
            <w:noWrap w:val="false"/>
          </w:tcPr>
          <w:p>
            <w:pPr>
              <w:ind w:hanging="10"/>
              <w:jc w:val="both"/>
              <w:rPr>
                <w:rFonts w:ascii="Golos Text" w:hAnsi="Golos Text" w:cs="Golos Text"/>
                <w:color w:val="000000" w:themeColor="text1"/>
                <w:szCs w:val="24"/>
              </w:rPr>
            </w:pPr>
            <w:r>
              <w:rPr>
                <w:rFonts w:ascii="Golos Text" w:hAnsi="Golos Text" w:cs="Golos Text"/>
                <w:color w:val="000000" w:themeColor="text1"/>
                <w:szCs w:val="24"/>
              </w:rPr>
              <w:t xml:space="preserve">SANA</w:t>
            </w:r>
            <w:r>
              <w:rPr>
                <w:rFonts w:ascii="Golos Text" w:hAnsi="Golos Text" w:cs="Golos Text"/>
                <w:color w:val="000000" w:themeColor="text1"/>
                <w:szCs w:val="24"/>
              </w:rPr>
            </w:r>
          </w:p>
        </w:tc>
      </w:tr>
    </w:tbl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11"/>
        <w:ind w:firstLine="709"/>
        <w:jc w:val="both"/>
        <w:pageBreakBefore/>
        <w:spacing w:before="0" w:after="0"/>
        <w:rPr>
          <w:rFonts w:ascii="Golos Text" w:hAnsi="Golos Text" w:cs="Golos Text"/>
          <w:color w:val="000000" w:themeColor="text1"/>
          <w:sz w:val="24"/>
          <w:szCs w:val="24"/>
        </w:rPr>
      </w:pPr>
      <w:r/>
      <w:bookmarkStart w:id="20" w:name="_Toc228984405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7. Заключение</w:t>
      </w:r>
      <w:bookmarkEnd w:id="20"/>
      <w:r/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Контекст уникально благоприятный. Конституционный закон дает юридический фундамент с прямыми статьями про блокчейн-кадастр, дочерние структуры для цифровых активов и принцип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Digital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by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default. Криптоплатеж 24 апреля 2026 года показал, что инфраструктура работает в реальной транзакции. Налоговая автономность Alatau City до 2050 года и защита инвестиций по английскому праву ставят город на уровень Дубая в Центральной Азии.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Активы для построения экосистемы уже существуют и в большинстве случаев находятся в периметре одного акционера. Из восьми функциональных блоков шесть закрываются готовыми активами, два (токенизация и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Единый слой данных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 - строятся с нуля, но имеют законодательный фундамент и регуляторную позицию НБ РК.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Ключевые задачи, без которых экосистема не запускается: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Unified ID на стороне ACB - задача №1, без нее каждый сервис работает изолированно.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API-шлюз биллинговой системы Алсеко/ЕРЦ -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высокорисковая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зона, без нее исчезает треть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экосистемной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ценности.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MVP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Common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Data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Layer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внедрение единой авторизации пользователей (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Identity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), создание обогащенного реестра объектов (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Property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Hub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 и запуск событийной шины для управления этапами сделки (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Transaction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</w:t>
      </w:r>
      <w:r>
        <w:rPr>
          <w:rFonts w:ascii="Golos Text" w:hAnsi="Golos Text" w:cs="Golos Text"/>
          <w:color w:val="000000" w:themeColor="text1"/>
          <w:sz w:val="24"/>
          <w:szCs w:val="24"/>
          <w:lang w:val="en-US"/>
        </w:rPr>
        <w:t xml:space="preserve">Engine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).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Дочерняя структура ACB для запуска токенизации и пилот на Iconic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Towers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pStyle w:val="722"/>
        <w:numPr>
          <w:ilvl w:val="0"/>
          <w:numId w:val="2"/>
        </w:numPr>
        <w:ind w:left="0" w:firstLine="709"/>
        <w:jc w:val="both"/>
        <w:tabs>
          <w:tab w:val="left" w:pos="993" w:leader="none"/>
          <w:tab w:val="left" w:pos="1276" w:leader="none"/>
        </w:tabs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Подзаконные акты Администрации Alatau City по блокчейн-кадастру, налоговому режиму SPV, стандартам цифрового эскроу.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Главный риск проекта - не технологический и не регуляторный. Главный риск координационны</w:t>
      </w:r>
      <w:bookmarkStart w:id="21" w:name="_GoBack"/>
      <w:r/>
      <w:bookmarkEnd w:id="21"/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й: восемь команд с разными скоростями и культурами могут не успеть синхронизироваться. Поэтому функция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фасилитатора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критична с самого начала. SANA 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Holding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 - естественный кандидат на эту роль с учетом независимой позиции и уникального набора компетенций (социология, нормативное строительство, GR, медиа, упаковка), которые ни один из операционных участников закрыть не может.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pPr>
        <w:ind w:firstLine="709"/>
        <w:jc w:val="both"/>
        <w:rPr>
          <w:rFonts w:ascii="Golos Text" w:hAnsi="Golos Text" w:cs="Golos Text"/>
          <w:color w:val="000000" w:themeColor="text1"/>
          <w:sz w:val="24"/>
          <w:szCs w:val="24"/>
        </w:rPr>
      </w:pP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Следующий шаг после согласования этого документа - сверка гипотез с реальностью по каждому блоку. Что из задуманн</w:t>
      </w:r>
      <w:r>
        <w:rPr>
          <w:rFonts w:ascii="Golos Text" w:hAnsi="Golos Text" w:cs="Golos Text"/>
          <w:color w:val="000000" w:themeColor="text1"/>
          <w:sz w:val="24"/>
          <w:szCs w:val="24"/>
        </w:rPr>
        <w:t xml:space="preserve">ого реализуемо на стороне каждого игрока в текущих условиях, какие задачи требуют дополнительной проработки, какие точки приложения дают самый быстрый эффект. На выходе - итоговая стратегия запуска с конкретным распределением ответственности и приоритетов.</w:t>
      </w:r>
      <w:r>
        <w:rPr>
          <w:rFonts w:ascii="Golos Text" w:hAnsi="Golos Text" w:cs="Golos Text"/>
          <w:color w:val="000000" w:themeColor="text1"/>
          <w:sz w:val="24"/>
          <w:szCs w:val="24"/>
        </w:rPr>
      </w:r>
    </w:p>
    <w:p>
      <w:r/>
      <w:r/>
    </w:p>
    <w:sectPr>
      <w:footerReference w:type="default" r:id="rId9"/>
      <w:footerReference w:type="even" r:id="rId10"/>
      <w:footnotePr/>
      <w:endnotePr/>
      <w:type w:val="nextPage"/>
      <w:pgSz w:w="12240" w:h="15840" w:orient="portrait"/>
      <w:pgMar w:top="978" w:right="1161" w:bottom="1081" w:left="1440" w:header="708" w:footer="708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Golos Text">
    <w:panose1 w:val="020B06040305040402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548150319"/>
      <w:docPartObj>
        <w:docPartGallery w:val="Page Numbers (Bottom of Page)"/>
        <w:docPartUnique w:val="true"/>
      </w:docPartObj>
      <w:rPr/>
    </w:sdtPr>
    <w:sdtContent>
      <w:p>
        <w:pPr>
          <w:pStyle w:val="741"/>
          <w:rPr>
            <w:rStyle w:val="743"/>
          </w:rPr>
          <w:framePr w:wrap="none" w:vAnchor="text" w:hAnchor="margin" w:xAlign="right" w:y="1"/>
        </w:pPr>
        <w:r>
          <w:rPr>
            <w:rStyle w:val="743"/>
          </w:rPr>
          <w:fldChar w:fldCharType="begin"/>
        </w:r>
        <w:r>
          <w:rPr>
            <w:rStyle w:val="743"/>
          </w:rPr>
          <w:instrText xml:space="preserve"> PAGE </w:instrText>
        </w:r>
        <w:r>
          <w:rPr>
            <w:rStyle w:val="743"/>
          </w:rPr>
          <w:fldChar w:fldCharType="separate"/>
        </w:r>
        <w:r>
          <w:rPr>
            <w:rStyle w:val="743"/>
          </w:rPr>
          <w:t xml:space="preserve">1</w:t>
        </w:r>
        <w:r>
          <w:rPr>
            <w:rStyle w:val="743"/>
          </w:rPr>
          <w:fldChar w:fldCharType="end"/>
        </w:r>
        <w:r>
          <w:rPr>
            <w:rStyle w:val="743"/>
          </w:rPr>
        </w:r>
      </w:p>
    </w:sdtContent>
  </w:sdt>
  <w:p>
    <w:pPr>
      <w:pStyle w:val="741"/>
      <w:ind w:right="3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86224580"/>
      <w:docPartObj>
        <w:docPartGallery w:val="Page Numbers (Bottom of Page)"/>
        <w:docPartUnique w:val="true"/>
      </w:docPartObj>
      <w:rPr/>
    </w:sdtPr>
    <w:sdtContent>
      <w:p>
        <w:pPr>
          <w:pStyle w:val="741"/>
          <w:rPr>
            <w:rStyle w:val="743"/>
          </w:rPr>
          <w:framePr w:wrap="none" w:vAnchor="text" w:hAnchor="margin" w:xAlign="right" w:y="1"/>
        </w:pPr>
        <w:r>
          <w:rPr>
            <w:rStyle w:val="743"/>
          </w:rPr>
          <w:fldChar w:fldCharType="begin"/>
        </w:r>
        <w:r>
          <w:rPr>
            <w:rStyle w:val="743"/>
          </w:rPr>
          <w:instrText xml:space="preserve"> PAGE </w:instrText>
        </w:r>
        <w:r>
          <w:rPr>
            <w:rStyle w:val="743"/>
          </w:rPr>
          <w:fldChar w:fldCharType="end"/>
        </w:r>
        <w:r>
          <w:rPr>
            <w:rStyle w:val="743"/>
          </w:rPr>
        </w:r>
      </w:p>
    </w:sdtContent>
  </w:sdt>
  <w:p>
    <w:pPr>
      <w:pStyle w:val="741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◦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◦"/>
      <w:lvlJc w:val="left"/>
      <w:pPr>
        <w:ind w:left="1440" w:hanging="360"/>
      </w:pPr>
    </w:lvl>
    <w:lvl w:ilvl="2">
      <w:start w:val="1"/>
      <w:numFmt w:val="decimal"/>
      <w:isLgl w:val="false"/>
      <w:suff w:val="tab"/>
      <w:lvlText w:val=""/>
      <w:lvlJc w:val="left"/>
      <w:pPr/>
    </w:lvl>
    <w:lvl w:ilvl="3">
      <w:start w:val="1"/>
      <w:numFmt w:val="decimal"/>
      <w:isLgl w:val="false"/>
      <w:suff w:val="tab"/>
      <w:lvlText w:val=""/>
      <w:lvlJc w:val="left"/>
      <w:pPr/>
    </w:lvl>
    <w:lvl w:ilvl="4">
      <w:start w:val="1"/>
      <w:numFmt w:val="decimal"/>
      <w:isLgl w:val="false"/>
      <w:suff w:val="tab"/>
      <w:lvlText w:val=""/>
      <w:lvlJc w:val="left"/>
      <w:pPr/>
    </w:lvl>
    <w:lvl w:ilvl="5">
      <w:start w:val="1"/>
      <w:numFmt w:val="decimal"/>
      <w:isLgl w:val="false"/>
      <w:suff w:val="tab"/>
      <w:lvlText w:val=""/>
      <w:lvlJc w:val="left"/>
      <w:pPr/>
    </w:lvl>
    <w:lvl w:ilvl="6">
      <w:start w:val="1"/>
      <w:numFmt w:val="decimal"/>
      <w:isLgl w:val="false"/>
      <w:suff w:val="tab"/>
      <w:lvlText w:val=""/>
      <w:lvlJc w:val="left"/>
      <w:pPr/>
    </w:lvl>
    <w:lvl w:ilvl="7">
      <w:start w:val="1"/>
      <w:numFmt w:val="decimal"/>
      <w:isLgl w:val="false"/>
      <w:suff w:val="tab"/>
      <w:lvlText w:val=""/>
      <w:lvlJc w:val="left"/>
      <w:pPr/>
    </w:lvl>
    <w:lvl w:ilvl="8">
      <w:start w:val="1"/>
      <w:numFmt w:val="decimal"/>
      <w:isLgl w:val="false"/>
      <w:suff w:val="tab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17"/>
    <w:link w:val="711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17"/>
    <w:link w:val="712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17"/>
    <w:link w:val="713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17"/>
    <w:link w:val="714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17"/>
    <w:link w:val="715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17"/>
    <w:link w:val="716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10"/>
    <w:next w:val="710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1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10"/>
    <w:next w:val="710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1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10"/>
    <w:next w:val="710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1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17"/>
    <w:link w:val="720"/>
    <w:uiPriority w:val="10"/>
    <w:rPr>
      <w:sz w:val="48"/>
      <w:szCs w:val="48"/>
    </w:rPr>
  </w:style>
  <w:style w:type="paragraph" w:styleId="37">
    <w:name w:val="Subtitle"/>
    <w:basedOn w:val="710"/>
    <w:next w:val="710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17"/>
    <w:link w:val="37"/>
    <w:uiPriority w:val="11"/>
    <w:rPr>
      <w:sz w:val="24"/>
      <w:szCs w:val="24"/>
    </w:rPr>
  </w:style>
  <w:style w:type="paragraph" w:styleId="39">
    <w:name w:val="Quote"/>
    <w:basedOn w:val="710"/>
    <w:next w:val="710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10"/>
    <w:next w:val="710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17"/>
    <w:link w:val="744"/>
    <w:uiPriority w:val="99"/>
  </w:style>
  <w:style w:type="character" w:styleId="46">
    <w:name w:val="Footer Char"/>
    <w:basedOn w:val="717"/>
    <w:link w:val="741"/>
    <w:uiPriority w:val="99"/>
  </w:style>
  <w:style w:type="paragraph" w:styleId="47">
    <w:name w:val="Caption"/>
    <w:basedOn w:val="710"/>
    <w:next w:val="710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17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7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7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7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725"/>
    <w:uiPriority w:val="99"/>
    <w:rPr>
      <w:sz w:val="18"/>
    </w:rPr>
  </w:style>
  <w:style w:type="character" w:styleId="180">
    <w:name w:val="Endnote Text Char"/>
    <w:link w:val="728"/>
    <w:uiPriority w:val="99"/>
    <w:rPr>
      <w:sz w:val="20"/>
    </w:rPr>
  </w:style>
  <w:style w:type="paragraph" w:styleId="192">
    <w:name w:val="table of figures"/>
    <w:basedOn w:val="710"/>
    <w:next w:val="710"/>
    <w:uiPriority w:val="99"/>
    <w:unhideWhenUsed/>
    <w:pPr>
      <w:spacing w:after="0" w:afterAutospacing="0"/>
    </w:pPr>
  </w:style>
  <w:style w:type="paragraph" w:styleId="710" w:default="1">
    <w:name w:val="Normal"/>
    <w:qFormat/>
  </w:style>
  <w:style w:type="paragraph" w:styleId="711">
    <w:name w:val="Heading 1"/>
    <w:uiPriority w:val="9"/>
    <w:qFormat/>
    <w:pPr>
      <w:spacing w:before="480" w:after="240"/>
      <w:outlineLvl w:val="0"/>
    </w:pPr>
    <w:rPr>
      <w:b/>
      <w:bCs/>
      <w:color w:val="1f3864"/>
      <w:sz w:val="36"/>
      <w:szCs w:val="36"/>
    </w:rPr>
  </w:style>
  <w:style w:type="paragraph" w:styleId="712">
    <w:name w:val="Heading 2"/>
    <w:uiPriority w:val="9"/>
    <w:unhideWhenUsed/>
    <w:qFormat/>
    <w:pPr>
      <w:spacing w:before="320" w:after="180"/>
      <w:outlineLvl w:val="1"/>
    </w:pPr>
    <w:rPr>
      <w:b/>
      <w:bCs/>
      <w:color w:val="2e75b6"/>
      <w:sz w:val="28"/>
      <w:szCs w:val="28"/>
    </w:rPr>
  </w:style>
  <w:style w:type="paragraph" w:styleId="713">
    <w:name w:val="Heading 3"/>
    <w:uiPriority w:val="9"/>
    <w:unhideWhenUsed/>
    <w:qFormat/>
    <w:pPr>
      <w:spacing w:before="240" w:after="140"/>
      <w:outlineLvl w:val="2"/>
    </w:pPr>
    <w:rPr>
      <w:b/>
      <w:bCs/>
      <w:color w:val="404040"/>
      <w:sz w:val="24"/>
      <w:szCs w:val="24"/>
    </w:rPr>
  </w:style>
  <w:style w:type="paragraph" w:styleId="71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71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71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717" w:default="1">
    <w:name w:val="Default Paragraph Font"/>
    <w:uiPriority w:val="1"/>
    <w:semiHidden/>
    <w:unhideWhenUsed/>
  </w:style>
  <w:style w:type="table" w:styleId="7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9" w:default="1">
    <w:name w:val="No List"/>
    <w:uiPriority w:val="99"/>
    <w:semiHidden/>
    <w:unhideWhenUsed/>
  </w:style>
  <w:style w:type="paragraph" w:styleId="720">
    <w:name w:val="Title"/>
    <w:uiPriority w:val="10"/>
    <w:qFormat/>
    <w:rPr>
      <w:sz w:val="56"/>
      <w:szCs w:val="56"/>
    </w:rPr>
  </w:style>
  <w:style w:type="paragraph" w:styleId="721" w:customStyle="1">
    <w:name w:val="Строгий1"/>
    <w:qFormat/>
    <w:rPr>
      <w:b/>
      <w:bCs/>
    </w:rPr>
  </w:style>
  <w:style w:type="paragraph" w:styleId="722">
    <w:name w:val="List Paragraph"/>
    <w:qFormat/>
  </w:style>
  <w:style w:type="character" w:styleId="723">
    <w:name w:val="Hyperlink"/>
    <w:uiPriority w:val="99"/>
    <w:unhideWhenUsed/>
    <w:rPr>
      <w:color w:val="0563c1"/>
      <w:u w:val="single"/>
    </w:rPr>
  </w:style>
  <w:style w:type="character" w:styleId="724">
    <w:name w:val="footnote reference"/>
    <w:uiPriority w:val="99"/>
    <w:semiHidden/>
    <w:unhideWhenUsed/>
    <w:rPr>
      <w:vertAlign w:val="superscript"/>
    </w:rPr>
  </w:style>
  <w:style w:type="paragraph" w:styleId="725">
    <w:name w:val="footnote text"/>
    <w:link w:val="726"/>
    <w:uiPriority w:val="99"/>
    <w:semiHidden/>
    <w:unhideWhenUsed/>
    <w:rPr>
      <w:sz w:val="20"/>
      <w:szCs w:val="20"/>
    </w:rPr>
  </w:style>
  <w:style w:type="character" w:styleId="726" w:customStyle="1">
    <w:name w:val="Текст сноски Знак"/>
    <w:link w:val="725"/>
    <w:uiPriority w:val="99"/>
    <w:semiHidden/>
    <w:unhideWhenUsed/>
    <w:rPr>
      <w:sz w:val="20"/>
      <w:szCs w:val="20"/>
    </w:rPr>
  </w:style>
  <w:style w:type="character" w:styleId="727">
    <w:name w:val="endnote reference"/>
    <w:uiPriority w:val="99"/>
    <w:semiHidden/>
    <w:unhideWhenUsed/>
    <w:rPr>
      <w:vertAlign w:val="superscript"/>
    </w:rPr>
  </w:style>
  <w:style w:type="paragraph" w:styleId="728">
    <w:name w:val="endnote text"/>
    <w:link w:val="729"/>
    <w:uiPriority w:val="99"/>
    <w:semiHidden/>
    <w:unhideWhenUsed/>
    <w:rPr>
      <w:sz w:val="20"/>
      <w:szCs w:val="20"/>
    </w:rPr>
  </w:style>
  <w:style w:type="character" w:styleId="729" w:customStyle="1">
    <w:name w:val="Текст концевой сноски Знак"/>
    <w:link w:val="728"/>
    <w:uiPriority w:val="99"/>
    <w:semiHidden/>
    <w:unhideWhenUsed/>
    <w:rPr>
      <w:sz w:val="20"/>
      <w:szCs w:val="20"/>
    </w:rPr>
  </w:style>
  <w:style w:type="paragraph" w:styleId="730">
    <w:name w:val="Normal (Web)"/>
    <w:basedOn w:val="710"/>
    <w:uiPriority w:val="99"/>
    <w:unhideWhenUsed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731">
    <w:name w:val="TOC Heading"/>
    <w:basedOn w:val="711"/>
    <w:next w:val="710"/>
    <w:uiPriority w:val="39"/>
    <w:unhideWhenUsed/>
    <w:qFormat/>
    <w:pPr>
      <w:keepLines/>
      <w:keepNext/>
      <w:spacing w:after="0" w:line="276" w:lineRule="auto"/>
      <w:outlineLvl w:val="9"/>
    </w:pPr>
    <w:rPr>
      <w:rFonts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732">
    <w:name w:val="toc 1"/>
    <w:basedOn w:val="710"/>
    <w:next w:val="710"/>
    <w:uiPriority w:val="39"/>
    <w:unhideWhenUsed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733">
    <w:name w:val="toc 2"/>
    <w:basedOn w:val="710"/>
    <w:next w:val="710"/>
    <w:uiPriority w:val="39"/>
    <w:unhideWhenUsed/>
    <w:pPr>
      <w:ind w:left="220"/>
      <w:spacing w:before="120"/>
    </w:pPr>
    <w:rPr>
      <w:rFonts w:asciiTheme="minorHAnsi" w:hAnsiTheme="minorHAnsi"/>
      <w:b/>
      <w:bCs/>
    </w:rPr>
  </w:style>
  <w:style w:type="paragraph" w:styleId="734">
    <w:name w:val="toc 3"/>
    <w:basedOn w:val="710"/>
    <w:next w:val="710"/>
    <w:uiPriority w:val="39"/>
    <w:unhideWhenUsed/>
    <w:pPr>
      <w:ind w:left="440"/>
    </w:pPr>
    <w:rPr>
      <w:rFonts w:asciiTheme="minorHAnsi" w:hAnsiTheme="minorHAnsi"/>
      <w:sz w:val="20"/>
      <w:szCs w:val="20"/>
    </w:rPr>
  </w:style>
  <w:style w:type="paragraph" w:styleId="735">
    <w:name w:val="toc 4"/>
    <w:basedOn w:val="710"/>
    <w:next w:val="710"/>
    <w:uiPriority w:val="39"/>
    <w:semiHidden/>
    <w:unhideWhenUsed/>
    <w:pPr>
      <w:ind w:left="660"/>
    </w:pPr>
    <w:rPr>
      <w:rFonts w:asciiTheme="minorHAnsi" w:hAnsiTheme="minorHAnsi"/>
      <w:sz w:val="20"/>
      <w:szCs w:val="20"/>
    </w:rPr>
  </w:style>
  <w:style w:type="paragraph" w:styleId="736">
    <w:name w:val="toc 5"/>
    <w:basedOn w:val="710"/>
    <w:next w:val="710"/>
    <w:uiPriority w:val="39"/>
    <w:semiHidden/>
    <w:unhideWhenUsed/>
    <w:pPr>
      <w:ind w:left="880"/>
    </w:pPr>
    <w:rPr>
      <w:rFonts w:asciiTheme="minorHAnsi" w:hAnsiTheme="minorHAnsi"/>
      <w:sz w:val="20"/>
      <w:szCs w:val="20"/>
    </w:rPr>
  </w:style>
  <w:style w:type="paragraph" w:styleId="737">
    <w:name w:val="toc 6"/>
    <w:basedOn w:val="710"/>
    <w:next w:val="710"/>
    <w:uiPriority w:val="39"/>
    <w:semiHidden/>
    <w:unhideWhenUsed/>
    <w:pPr>
      <w:ind w:left="1100"/>
    </w:pPr>
    <w:rPr>
      <w:rFonts w:asciiTheme="minorHAnsi" w:hAnsiTheme="minorHAnsi"/>
      <w:sz w:val="20"/>
      <w:szCs w:val="20"/>
    </w:rPr>
  </w:style>
  <w:style w:type="paragraph" w:styleId="738">
    <w:name w:val="toc 7"/>
    <w:basedOn w:val="710"/>
    <w:next w:val="710"/>
    <w:uiPriority w:val="39"/>
    <w:semiHidden/>
    <w:unhideWhenUsed/>
    <w:pPr>
      <w:ind w:left="1320"/>
    </w:pPr>
    <w:rPr>
      <w:rFonts w:asciiTheme="minorHAnsi" w:hAnsiTheme="minorHAnsi"/>
      <w:sz w:val="20"/>
      <w:szCs w:val="20"/>
    </w:rPr>
  </w:style>
  <w:style w:type="paragraph" w:styleId="739">
    <w:name w:val="toc 8"/>
    <w:basedOn w:val="710"/>
    <w:next w:val="710"/>
    <w:uiPriority w:val="39"/>
    <w:semiHidden/>
    <w:unhideWhenUsed/>
    <w:pPr>
      <w:ind w:left="1540"/>
    </w:pPr>
    <w:rPr>
      <w:rFonts w:asciiTheme="minorHAnsi" w:hAnsiTheme="minorHAnsi"/>
      <w:sz w:val="20"/>
      <w:szCs w:val="20"/>
    </w:rPr>
  </w:style>
  <w:style w:type="paragraph" w:styleId="740">
    <w:name w:val="toc 9"/>
    <w:basedOn w:val="710"/>
    <w:next w:val="710"/>
    <w:uiPriority w:val="39"/>
    <w:semiHidden/>
    <w:unhideWhenUsed/>
    <w:pPr>
      <w:ind w:left="1760"/>
    </w:pPr>
    <w:rPr>
      <w:rFonts w:asciiTheme="minorHAnsi" w:hAnsiTheme="minorHAnsi"/>
      <w:sz w:val="20"/>
      <w:szCs w:val="20"/>
    </w:rPr>
  </w:style>
  <w:style w:type="paragraph" w:styleId="741">
    <w:name w:val="Footer"/>
    <w:basedOn w:val="710"/>
    <w:link w:val="74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42" w:customStyle="1">
    <w:name w:val="Нижний колонтитул Знак"/>
    <w:basedOn w:val="717"/>
    <w:link w:val="741"/>
    <w:uiPriority w:val="99"/>
  </w:style>
  <w:style w:type="character" w:styleId="743">
    <w:name w:val="page number"/>
    <w:basedOn w:val="717"/>
    <w:uiPriority w:val="99"/>
    <w:semiHidden/>
    <w:unhideWhenUsed/>
  </w:style>
  <w:style w:type="paragraph" w:styleId="744">
    <w:name w:val="Header"/>
    <w:basedOn w:val="710"/>
    <w:link w:val="745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45" w:customStyle="1">
    <w:name w:val="Верхний колонтитул Знак"/>
    <w:basedOn w:val="717"/>
    <w:link w:val="744"/>
    <w:uiPriority w:val="99"/>
  </w:style>
  <w:style w:type="paragraph" w:styleId="746">
    <w:name w:val="No Spacing"/>
    <w:link w:val="747"/>
    <w:uiPriority w:val="1"/>
    <w:qFormat/>
    <w:rPr>
      <w:rFonts w:asciiTheme="minorHAnsi" w:hAnsiTheme="minorHAnsi" w:eastAsiaTheme="minorEastAsia" w:cstheme="minorBidi"/>
      <w:lang w:val="en-US" w:eastAsia="zh-CN"/>
    </w:rPr>
  </w:style>
  <w:style w:type="character" w:styleId="747" w:customStyle="1">
    <w:name w:val="Без интервала Знак"/>
    <w:basedOn w:val="717"/>
    <w:link w:val="746"/>
    <w:uiPriority w:val="1"/>
    <w:rPr>
      <w:rFonts w:asciiTheme="minorHAnsi" w:hAnsiTheme="minorHAnsi" w:eastAsiaTheme="minorEastAsia" w:cstheme="minorBidi"/>
      <w:lang w:val="en-US"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B2914A-AF42-6A4D-808B-7F1F39E73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Saltanat Zholamanova</cp:lastModifiedBy>
  <cp:revision>9</cp:revision>
  <dcterms:created xsi:type="dcterms:W3CDTF">2026-05-06T13:00:00Z</dcterms:created>
  <dcterms:modified xsi:type="dcterms:W3CDTF">2026-05-21T09:40:44Z</dcterms:modified>
</cp:coreProperties>
</file>