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38"/>
        </w:rPr>
        <w:t>Network Intrusion Detection on NSL-KDD</w:t>
      </w:r>
    </w:p>
    <w:p>
      <w:pPr>
        <w:jc w:val="center"/>
      </w:pPr>
      <w:r>
        <w:rPr>
          <w:b/>
          <w:color w:val="1A1A1A"/>
          <w:sz w:val="28"/>
        </w:rPr>
        <w:t>A Critical Reproduction Study</w:t>
      </w:r>
    </w:p>
    <w:p>
      <w:pPr>
        <w:jc w:val="center"/>
      </w:pPr>
      <w:r>
        <w:rPr>
          <w:color w:val="555555"/>
          <w:sz w:val="22"/>
        </w:rPr>
        <w:t>Data Science in Cyber  ·  Final Project  ·  Intrusion Detection Systems</w:t>
      </w:r>
    </w:p>
    <w:p>
      <w:pPr>
        <w:spacing w:after="200"/>
        <w:jc w:val="center"/>
      </w:pPr>
      <w:r>
        <w:rPr>
          <w:i/>
          <w:color w:val="555555"/>
          <w:sz w:val="20"/>
        </w:rPr>
        <w:t>Source evaluated: Mamcose — NSL-KDD Network Intrusion Detection</w:t>
      </w:r>
    </w:p>
    <w:p>
      <w:pPr>
        <w:spacing w:before="240" w:after="80"/>
        <w:pBdr>
          <w:bottom w:val="single" w:sz="6" w:space="2" w:color="999999"/>
        </w:pBdr>
      </w:pPr>
      <w:r>
        <w:rPr>
          <w:rFonts w:ascii="Times New Roman" w:hAnsi="Times New Roman"/>
          <w:b/>
          <w:color w:val="1A1A1A"/>
          <w:sz w:val="30"/>
        </w:rPr>
        <w:t>Executive Summary</w:t>
      </w:r>
    </w:p>
    <w:p>
      <w:pPr>
        <w:spacing w:after="140"/>
        <w:jc w:val="both"/>
      </w:pPr>
      <w:r>
        <w:rPr>
          <w:rFonts w:ascii="Times New Roman" w:hAnsi="Times New Roman"/>
          <w:b w:val="0"/>
          <w:i w:val="0"/>
          <w:color w:val="1A1A1A"/>
          <w:sz w:val="22"/>
        </w:rPr>
        <w:t>This project critically evaluates a widely referenced tutorial that trains machine-learning classifiers on the NSL-KDD benchmark to detect network intrusions. The source loads the official train and test files, splits attacks into the four standard families (DoS, Probe, R2L, U2R), trains Random Forest, K-Nearest-Neighbours and a linear SVM, evaluates them with 10-fold cross-validation, and reports accuracies up to ~99.8%, concluding that the approach detects intrusions almost perfectly. We reproduced the pipeline and tested whether that conclusion holds.</w:t>
      </w:r>
    </w:p>
    <w:p>
      <w:pPr>
        <w:spacing w:after="140"/>
        <w:jc w:val="both"/>
      </w:pPr>
      <w:r>
        <w:rPr>
          <w:rFonts w:ascii="Times New Roman" w:hAnsi="Times New Roman"/>
          <w:b/>
          <w:i w:val="0"/>
          <w:color w:val="1A1A1A"/>
          <w:sz w:val="22"/>
        </w:rPr>
        <w:t>The near-perfect accuracy is an evaluation artefact.</w:t>
      </w:r>
      <w:r>
        <w:rPr>
          <w:rFonts w:ascii="Times New Roman" w:hAnsi="Times New Roman"/>
          <w:b w:val="0"/>
          <w:i w:val="0"/>
          <w:color w:val="1A1A1A"/>
          <w:sz w:val="22"/>
        </w:rPr>
        <w:t xml:space="preserve"> NSL-KDD ships a dedicated test set, KDDTest+, that deliberately contains </w:t>
      </w:r>
      <w:r>
        <w:rPr>
          <w:rFonts w:ascii="Times New Roman" w:hAnsi="Times New Roman"/>
          <w:b/>
          <w:i w:val="0"/>
          <w:color w:val="1A1A1A"/>
          <w:sz w:val="22"/>
        </w:rPr>
        <w:t>17 attack types never seen in training</w:t>
      </w:r>
      <w:r>
        <w:rPr>
          <w:rFonts w:ascii="Times New Roman" w:hAnsi="Times New Roman"/>
          <w:b w:val="0"/>
          <w:i w:val="0"/>
          <w:color w:val="1A1A1A"/>
          <w:sz w:val="22"/>
        </w:rPr>
        <w:t xml:space="preserve"> (16.6% of the test set). Cross-validating inside one distribution, as the source does, removes this challenge. When we use the protocol the benchmark was built for (train on KDDTrain+, test on KDDTest+), our best model (XGBoost) drops from 99.9% to </w:t>
      </w:r>
      <w:r>
        <w:rPr>
          <w:rFonts w:ascii="Times New Roman" w:hAnsi="Times New Roman"/>
          <w:b/>
          <w:i w:val="0"/>
          <w:color w:val="1A1A1A"/>
          <w:sz w:val="22"/>
        </w:rPr>
        <w:t>79.5%</w:t>
      </w:r>
      <w:r>
        <w:rPr>
          <w:rFonts w:ascii="Times New Roman" w:hAnsi="Times New Roman"/>
          <w:b w:val="0"/>
          <w:i w:val="0"/>
          <w:color w:val="1A1A1A"/>
          <w:sz w:val="22"/>
        </w:rPr>
        <w:t xml:space="preserve"> accuracy, an MCC of only 0.6427, and the severe rare attacks collapse: </w:t>
      </w:r>
      <w:r>
        <w:rPr>
          <w:rFonts w:ascii="Times New Roman" w:hAnsi="Times New Roman"/>
          <w:b/>
          <w:i w:val="0"/>
          <w:color w:val="1A1A1A"/>
          <w:sz w:val="22"/>
        </w:rPr>
        <w:t>R2L recall 6.3%, U2R recall 19.4%</w:t>
      </w:r>
      <w:r>
        <w:rPr>
          <w:rFonts w:ascii="Times New Roman" w:hAnsi="Times New Roman"/>
          <w:b w:val="0"/>
          <w:i w:val="0"/>
          <w:color w:val="1A1A1A"/>
          <w:sz w:val="22"/>
        </w:rPr>
        <w:t>, and novel-attack recall 38.7%.</w:t>
      </w:r>
    </w:p>
    <w:p>
      <w:pPr>
        <w:spacing w:after="140"/>
        <w:jc w:val="both"/>
      </w:pPr>
      <w:r>
        <w:rPr>
          <w:rFonts w:ascii="Times New Roman" w:hAnsi="Times New Roman"/>
          <w:b w:val="0"/>
          <w:i w:val="0"/>
          <w:color w:val="1A1A1A"/>
          <w:sz w:val="22"/>
        </w:rPr>
        <w:t>In short, the headline number measures interpolation within a single 25-year-old distribution, not the generalisation to unseen attacks that an intrusion-detection system requires. The 'Random Forest is best' ordering holds, but the near-perfect accuracy should not be cited as evidence of a deployable detector.</w:t>
      </w:r>
    </w:p>
    <w:p>
      <w:r>
        <w:br w:type="page"/>
      </w:r>
    </w:p>
    <w:p>
      <w:pPr>
        <w:spacing w:before="240" w:after="80"/>
        <w:pBdr>
          <w:bottom w:val="single" w:sz="6" w:space="2" w:color="999999"/>
        </w:pBdr>
      </w:pPr>
      <w:r>
        <w:rPr>
          <w:rFonts w:ascii="Times New Roman" w:hAnsi="Times New Roman"/>
          <w:b/>
          <w:color w:val="1A1A1A"/>
          <w:sz w:val="30"/>
        </w:rPr>
        <w:t>1. Summary of the Source</w:t>
      </w:r>
    </w:p>
    <w:p>
      <w:pPr>
        <w:spacing w:before="160" w:after="40"/>
      </w:pPr>
      <w:r>
        <w:rPr>
          <w:rFonts w:ascii="Times New Roman" w:hAnsi="Times New Roman"/>
          <w:b/>
          <w:color w:val="1A1A1A"/>
          <w:sz w:val="24"/>
        </w:rPr>
        <w:t>Problem and why it matters</w:t>
      </w:r>
    </w:p>
    <w:p>
      <w:pPr>
        <w:spacing w:after="140"/>
        <w:jc w:val="both"/>
      </w:pPr>
      <w:r>
        <w:rPr>
          <w:rFonts w:ascii="Times New Roman" w:hAnsi="Times New Roman"/>
          <w:b w:val="0"/>
          <w:i w:val="0"/>
          <w:color w:val="1A1A1A"/>
          <w:sz w:val="22"/>
        </w:rPr>
        <w:t>A network intrusion-detection system (IDS) flags malicious traffic — denial of service, scanning, remote intrusions, privilege escalation — among a large volume of benign connections. It is a classic, high-stakes classification problem: missed attacks are breaches, and excessive false alarms exhaust the analysts who must triage them.</w:t>
      </w:r>
    </w:p>
    <w:p>
      <w:pPr>
        <w:spacing w:before="160" w:after="40"/>
      </w:pPr>
      <w:r>
        <w:rPr>
          <w:rFonts w:ascii="Times New Roman" w:hAnsi="Times New Roman"/>
          <w:b/>
          <w:color w:val="1A1A1A"/>
          <w:sz w:val="24"/>
        </w:rPr>
        <w:t>Dataset, solution and methodology</w:t>
      </w:r>
    </w:p>
    <w:p>
      <w:pPr>
        <w:spacing w:after="140"/>
        <w:jc w:val="both"/>
      </w:pPr>
      <w:r>
        <w:rPr>
          <w:rFonts w:ascii="Times New Roman" w:hAnsi="Times New Roman"/>
          <w:b w:val="0"/>
          <w:i w:val="0"/>
          <w:color w:val="1A1A1A"/>
          <w:sz w:val="22"/>
        </w:rPr>
        <w:t xml:space="preserve">The source uses </w:t>
      </w:r>
      <w:r>
        <w:rPr>
          <w:rFonts w:ascii="Times New Roman" w:hAnsi="Times New Roman"/>
          <w:b/>
          <w:i w:val="0"/>
          <w:color w:val="1A1A1A"/>
          <w:sz w:val="22"/>
        </w:rPr>
        <w:t>NSL-KDD</w:t>
      </w:r>
      <w:r>
        <w:rPr>
          <w:rFonts w:ascii="Times New Roman" w:hAnsi="Times New Roman"/>
          <w:b w:val="0"/>
          <w:i w:val="0"/>
          <w:color w:val="1A1A1A"/>
          <w:sz w:val="22"/>
        </w:rPr>
        <w:t>, the de-duplicated successor to KDD'99: 125,973 training and 22,544 test connection records, each with 41 features (three categorical: protocol, service, flag; the rest numeric counts, rates and byte totals) plus a label. It maps the raw labels to four attack families, trains Random Forest, KNN and a linear SVM, and measures accuracy by 10-fold cross-validation, reporting Random Forest highest at roughly 99.8%.</w:t>
      </w:r>
    </w:p>
    <w:p>
      <w:pPr>
        <w:spacing w:before="240" w:after="80"/>
        <w:pBdr>
          <w:bottom w:val="single" w:sz="6" w:space="2" w:color="999999"/>
        </w:pBdr>
      </w:pPr>
      <w:r>
        <w:rPr>
          <w:rFonts w:ascii="Times New Roman" w:hAnsi="Times New Roman"/>
          <w:b/>
          <w:color w:val="1A1A1A"/>
          <w:sz w:val="30"/>
        </w:rPr>
        <w:t>2. Critical Evaluation of the Source's Claims</w:t>
      </w:r>
    </w:p>
    <w:p>
      <w:pPr>
        <w:spacing w:after="140"/>
        <w:jc w:val="both"/>
      </w:pPr>
      <w:r>
        <w:rPr>
          <w:rFonts w:ascii="Times New Roman" w:hAnsi="Times New Roman"/>
          <w:b w:val="0"/>
          <w:i w:val="0"/>
          <w:color w:val="1A1A1A"/>
          <w:sz w:val="22"/>
        </w:rPr>
        <w:t>We confront each claim with evidence from our reproduction.</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E6E6E6"/>
          </w:tcPr>
          <w:p>
            <w:r>
              <w:rPr>
                <w:rFonts w:ascii="Times New Roman" w:hAnsi="Times New Roman"/>
                <w:b/>
                <w:i w:val="0"/>
                <w:color w:val="1A1A1A"/>
                <w:sz w:val="18"/>
              </w:rPr>
              <w:t>Source's claim</w:t>
            </w:r>
          </w:p>
        </w:tc>
        <w:tc>
          <w:tcPr>
            <w:tcW w:type="dxa" w:w="4896"/>
            <w:shd w:val="clear" w:color="auto" w:fill="E6E6E6"/>
          </w:tcPr>
          <w:p>
            <w:r>
              <w:rPr>
                <w:rFonts w:ascii="Times New Roman" w:hAnsi="Times New Roman"/>
                <w:b/>
                <w:i w:val="0"/>
                <w:color w:val="1A1A1A"/>
                <w:sz w:val="18"/>
              </w:rPr>
              <w:t>Our evidence</w:t>
            </w:r>
          </w:p>
        </w:tc>
        <w:tc>
          <w:tcPr>
            <w:tcW w:type="dxa" w:w="2016"/>
            <w:shd w:val="clear" w:color="auto" w:fill="E6E6E6"/>
          </w:tcPr>
          <w:p>
            <w:r>
              <w:rPr>
                <w:rFonts w:ascii="Times New Roman" w:hAnsi="Times New Roman"/>
                <w:b/>
                <w:i w:val="0"/>
                <w:color w:val="1A1A1A"/>
                <w:sz w:val="18"/>
              </w:rPr>
              <w:t>Verdict</w:t>
            </w:r>
          </w:p>
        </w:tc>
      </w:tr>
      <w:tr>
        <w:tc>
          <w:tcPr>
            <w:tcW w:type="dxa" w:w="2736"/>
            <w:shd w:val="clear" w:color="auto" w:fill="F4F4F4"/>
          </w:tcPr>
          <w:p>
            <w:r>
              <w:rPr>
                <w:rFonts w:ascii="Times New Roman" w:hAnsi="Times New Roman"/>
                <w:b w:val="0"/>
                <w:i w:val="0"/>
                <w:color w:val="1A1A1A"/>
                <w:sz w:val="18"/>
              </w:rPr>
              <w:t>~99.8% accuracy means a near-perfect IDS</w:t>
            </w:r>
          </w:p>
        </w:tc>
        <w:tc>
          <w:tcPr>
            <w:tcW w:type="dxa" w:w="4896"/>
            <w:shd w:val="clear" w:color="auto" w:fill="F4F4F4"/>
          </w:tcPr>
          <w:p>
            <w:r>
              <w:rPr>
                <w:rFonts w:ascii="Times New Roman" w:hAnsi="Times New Roman"/>
                <w:b w:val="0"/>
                <w:i w:val="0"/>
                <w:color w:val="1A1A1A"/>
                <w:sz w:val="18"/>
              </w:rPr>
              <w:t>Reproduced under same-distribution CV (99.9%), but accuracy falls to 79.5% on the official KDDTest+ (a 20.4% drop)</w:t>
            </w:r>
          </w:p>
        </w:tc>
        <w:tc>
          <w:tcPr>
            <w:tcW w:type="dxa" w:w="2016"/>
            <w:shd w:val="clear" w:color="auto" w:fill="F4F4F4"/>
          </w:tcPr>
          <w:p>
            <w:r>
              <w:rPr>
                <w:rFonts w:ascii="Times New Roman" w:hAnsi="Times New Roman"/>
                <w:b w:val="0"/>
                <w:i w:val="0"/>
                <w:color w:val="1A1A1A"/>
                <w:sz w:val="18"/>
              </w:rPr>
              <w:t>Not supported</w:t>
            </w:r>
          </w:p>
        </w:tc>
      </w:tr>
      <w:tr>
        <w:tc>
          <w:tcPr>
            <w:tcW w:type="dxa" w:w="2736"/>
          </w:tcPr>
          <w:p>
            <w:r>
              <w:rPr>
                <w:rFonts w:ascii="Times New Roman" w:hAnsi="Times New Roman"/>
                <w:b w:val="0"/>
                <w:i w:val="0"/>
                <w:color w:val="1A1A1A"/>
                <w:sz w:val="18"/>
              </w:rPr>
              <w:t>Accuracy is an adequate metric</w:t>
            </w:r>
          </w:p>
        </w:tc>
        <w:tc>
          <w:tcPr>
            <w:tcW w:type="dxa" w:w="4896"/>
          </w:tcPr>
          <w:p>
            <w:r>
              <w:rPr>
                <w:rFonts w:ascii="Times New Roman" w:hAnsi="Times New Roman"/>
                <w:b w:val="0"/>
                <w:i w:val="0"/>
                <w:color w:val="1A1A1A"/>
                <w:sz w:val="18"/>
              </w:rPr>
              <w:t>R2L recall 6.3% and U2R recall 19.4% are far below the headline; MCC is only 0.6427</w:t>
            </w:r>
          </w:p>
        </w:tc>
        <w:tc>
          <w:tcPr>
            <w:tcW w:type="dxa" w:w="2016"/>
          </w:tcPr>
          <w:p>
            <w:r>
              <w:rPr>
                <w:rFonts w:ascii="Times New Roman" w:hAnsi="Times New Roman"/>
                <w:b w:val="0"/>
                <w:i w:val="0"/>
                <w:color w:val="1A1A1A"/>
                <w:sz w:val="18"/>
              </w:rPr>
              <w:t>Not supported</w:t>
            </w:r>
          </w:p>
        </w:tc>
      </w:tr>
      <w:tr>
        <w:tc>
          <w:tcPr>
            <w:tcW w:type="dxa" w:w="2736"/>
            <w:shd w:val="clear" w:color="auto" w:fill="F4F4F4"/>
          </w:tcPr>
          <w:p>
            <w:r>
              <w:rPr>
                <w:rFonts w:ascii="Times New Roman" w:hAnsi="Times New Roman"/>
                <w:b w:val="0"/>
                <w:i w:val="0"/>
                <w:color w:val="1A1A1A"/>
                <w:sz w:val="18"/>
              </w:rPr>
              <w:t>The model detects attacks</w:t>
            </w:r>
          </w:p>
        </w:tc>
        <w:tc>
          <w:tcPr>
            <w:tcW w:type="dxa" w:w="4896"/>
            <w:shd w:val="clear" w:color="auto" w:fill="F4F4F4"/>
          </w:tcPr>
          <w:p>
            <w:r>
              <w:rPr>
                <w:rFonts w:ascii="Times New Roman" w:hAnsi="Times New Roman"/>
                <w:b w:val="0"/>
                <w:i w:val="0"/>
                <w:color w:val="1A1A1A"/>
                <w:sz w:val="18"/>
              </w:rPr>
              <w:t>It detects seen patterns, but recall on the 17 novel attack types is 38.7%</w:t>
            </w:r>
          </w:p>
        </w:tc>
        <w:tc>
          <w:tcPr>
            <w:tcW w:type="dxa" w:w="2016"/>
            <w:shd w:val="clear" w:color="auto" w:fill="F4F4F4"/>
          </w:tcPr>
          <w:p>
            <w:r>
              <w:rPr>
                <w:rFonts w:ascii="Times New Roman" w:hAnsi="Times New Roman"/>
                <w:b w:val="0"/>
                <w:i w:val="0"/>
                <w:color w:val="1A1A1A"/>
                <w:sz w:val="18"/>
              </w:rPr>
              <w:t>Partially supported</w:t>
            </w:r>
          </w:p>
        </w:tc>
      </w:tr>
      <w:tr>
        <w:tc>
          <w:tcPr>
            <w:tcW w:type="dxa" w:w="2736"/>
          </w:tcPr>
          <w:p>
            <w:r>
              <w:rPr>
                <w:rFonts w:ascii="Times New Roman" w:hAnsi="Times New Roman"/>
                <w:b w:val="0"/>
                <w:i w:val="0"/>
                <w:color w:val="1A1A1A"/>
                <w:sz w:val="18"/>
              </w:rPr>
              <w:t>The pipeline is sound</w:t>
            </w:r>
          </w:p>
        </w:tc>
        <w:tc>
          <w:tcPr>
            <w:tcW w:type="dxa" w:w="4896"/>
          </w:tcPr>
          <w:p>
            <w:r>
              <w:rPr>
                <w:rFonts w:ascii="Times New Roman" w:hAnsi="Times New Roman"/>
                <w:b w:val="0"/>
                <w:i w:val="0"/>
                <w:color w:val="1A1A1A"/>
                <w:sz w:val="18"/>
              </w:rPr>
              <w:t>Feeds a constant feature, ignores one-hot train/test alignment, never tests novel attacks</w:t>
            </w:r>
          </w:p>
        </w:tc>
        <w:tc>
          <w:tcPr>
            <w:tcW w:type="dxa" w:w="2016"/>
          </w:tcPr>
          <w:p>
            <w:r>
              <w:rPr>
                <w:rFonts w:ascii="Times New Roman" w:hAnsi="Times New Roman"/>
                <w:b w:val="0"/>
                <w:i w:val="0"/>
                <w:color w:val="1A1A1A"/>
                <w:sz w:val="18"/>
              </w:rPr>
              <w:t>Weak methodology</w:t>
            </w:r>
          </w:p>
        </w:tc>
      </w:tr>
      <w:tr>
        <w:tc>
          <w:tcPr>
            <w:tcW w:type="dxa" w:w="2736"/>
            <w:shd w:val="clear" w:color="auto" w:fill="F4F4F4"/>
          </w:tcPr>
          <w:p>
            <w:r>
              <w:rPr>
                <w:rFonts w:ascii="Times New Roman" w:hAnsi="Times New Roman"/>
                <w:b w:val="0"/>
                <w:i w:val="0"/>
                <w:color w:val="1A1A1A"/>
                <w:sz w:val="18"/>
              </w:rPr>
              <w:t>Random Forest is the best model</w:t>
            </w:r>
          </w:p>
        </w:tc>
        <w:tc>
          <w:tcPr>
            <w:tcW w:type="dxa" w:w="4896"/>
            <w:shd w:val="clear" w:color="auto" w:fill="F4F4F4"/>
          </w:tcPr>
          <w:p>
            <w:r>
              <w:rPr>
                <w:rFonts w:ascii="Times New Roman" w:hAnsi="Times New Roman"/>
                <w:b w:val="0"/>
                <w:i w:val="0"/>
                <w:color w:val="1A1A1A"/>
                <w:sz w:val="18"/>
              </w:rPr>
              <w:t>Confirmed: tree ensembles lead under both protocols</w:t>
            </w:r>
          </w:p>
        </w:tc>
        <w:tc>
          <w:tcPr>
            <w:tcW w:type="dxa" w:w="2016"/>
            <w:shd w:val="clear" w:color="auto" w:fill="F4F4F4"/>
          </w:tcPr>
          <w:p>
            <w:r>
              <w:rPr>
                <w:rFonts w:ascii="Times New Roman" w:hAnsi="Times New Roman"/>
                <w:b w:val="0"/>
                <w:i w:val="0"/>
                <w:color w:val="1A1A1A"/>
                <w:sz w:val="18"/>
              </w:rPr>
              <w:t>Supported</w:t>
            </w:r>
          </w:p>
        </w:tc>
      </w:tr>
    </w:tbl>
    <w:p>
      <w:pPr>
        <w:spacing w:after="80"/>
      </w:pPr>
    </w:p>
    <w:p>
      <w:pPr>
        <w:spacing w:before="160" w:after="40"/>
      </w:pPr>
      <w:r>
        <w:rPr>
          <w:rFonts w:ascii="Times New Roman" w:hAnsi="Times New Roman"/>
          <w:b/>
          <w:color w:val="1A1A1A"/>
          <w:sz w:val="24"/>
        </w:rPr>
        <w:t>2.1 The evaluation protocol, not the model, drives the headline</w:t>
      </w:r>
    </w:p>
    <w:p>
      <w:pPr>
        <w:spacing w:after="140"/>
        <w:jc w:val="both"/>
      </w:pPr>
      <w:r>
        <w:rPr>
          <w:rFonts w:ascii="Times New Roman" w:hAnsi="Times New Roman"/>
          <w:b w:val="0"/>
          <w:i w:val="0"/>
          <w:color w:val="1A1A1A"/>
          <w:sz w:val="22"/>
        </w:rPr>
        <w:t xml:space="preserve">NSL-KDD's test set is built to contain attack types absent from training, so a model must </w:t>
      </w:r>
      <w:r>
        <w:rPr>
          <w:rFonts w:ascii="Times New Roman" w:hAnsi="Times New Roman"/>
          <w:b/>
          <w:i w:val="0"/>
          <w:color w:val="1A1A1A"/>
          <w:sz w:val="22"/>
        </w:rPr>
        <w:t>generalise to novel attacks</w:t>
      </w:r>
      <w:r>
        <w:rPr>
          <w:rFonts w:ascii="Times New Roman" w:hAnsi="Times New Roman"/>
          <w:b w:val="0"/>
          <w:i w:val="0"/>
          <w:color w:val="1A1A1A"/>
          <w:sz w:val="22"/>
        </w:rPr>
        <w:t>. Cross-validating inside KDDTrain+ measures something easier: recognising variants of patterns already seen. We trained six models under both protocols. Under same-distribution CV every model scores in the high 0.99s, reproducing the source. Under the official train→test protocol, accuracy falls by about twenty points (Figure 1).</w:t>
      </w:r>
    </w:p>
    <w:p>
      <w:pPr>
        <w:jc w:val="center"/>
      </w:pPr>
      <w:r>
        <w:drawing>
          <wp:inline xmlns:a="http://schemas.openxmlformats.org/drawingml/2006/main" xmlns:pic="http://schemas.openxmlformats.org/drawingml/2006/picture">
            <wp:extent cx="5220000" cy="3103924"/>
            <wp:docPr id="1" name="Picture 1"/>
            <wp:cNvGraphicFramePr>
              <a:graphicFrameLocks noChangeAspect="1"/>
            </wp:cNvGraphicFramePr>
            <a:graphic>
              <a:graphicData uri="http://schemas.openxmlformats.org/drawingml/2006/picture">
                <pic:pic>
                  <pic:nvPicPr>
                    <pic:cNvPr id="0" name="accuracy_gap.png"/>
                    <pic:cNvPicPr/>
                  </pic:nvPicPr>
                  <pic:blipFill>
                    <a:blip r:embed="rId9"/>
                    <a:stretch>
                      <a:fillRect/>
                    </a:stretch>
                  </pic:blipFill>
                  <pic:spPr>
                    <a:xfrm>
                      <a:off x="0" y="0"/>
                      <a:ext cx="5220000" cy="3103924"/>
                    </a:xfrm>
                    <a:prstGeom prst="rect"/>
                  </pic:spPr>
                </pic:pic>
              </a:graphicData>
            </a:graphic>
          </wp:inline>
        </w:drawing>
      </w:r>
    </w:p>
    <w:p>
      <w:pPr>
        <w:spacing w:after="240"/>
        <w:jc w:val="center"/>
      </w:pPr>
      <w:r>
        <w:rPr>
          <w:i/>
          <w:color w:val="555555"/>
          <w:sz w:val="18"/>
        </w:rPr>
        <w:t>Figure 1. Same-distribution cross-validation accuracy (blue) versus official KDDTest+ accuracy (orange). The ~20-point gap is the difference between recognising seen attacks and detecting novel ones.</w:t>
      </w:r>
    </w:p>
    <w:p>
      <w:pPr>
        <w:spacing w:before="160" w:after="40"/>
      </w:pPr>
      <w:r>
        <w:rPr>
          <w:rFonts w:ascii="Times New Roman" w:hAnsi="Times New Roman"/>
          <w:b/>
          <w:color w:val="1A1A1A"/>
          <w:sz w:val="24"/>
        </w:rPr>
        <w:t>2.2 Accuracy hides the dangerous attacks</w:t>
      </w:r>
    </w:p>
    <w:p>
      <w:pPr>
        <w:spacing w:after="140"/>
        <w:jc w:val="both"/>
      </w:pPr>
      <w:r>
        <w:rPr>
          <w:rFonts w:ascii="Times New Roman" w:hAnsi="Times New Roman"/>
          <w:b w:val="0"/>
          <w:i w:val="0"/>
          <w:color w:val="1A1A1A"/>
          <w:sz w:val="22"/>
        </w:rPr>
        <w:t>Two of the four attack families, R2L (remote-to-local) and U2R (user-to-root), are under 1% of training yet are the most severe. The per-family detection rates on the official test set (Figure 2) show high-volume DoS and Probe attacks caught well, but R2L and U2R recall far lower, and the 17 novel signatures missed at a high rate. A single accuracy figure, dominated by easy traffic, conceals exactly the failures a defender most cares about.</w:t>
      </w:r>
    </w:p>
    <w:p>
      <w:pPr>
        <w:jc w:val="center"/>
      </w:pPr>
      <w:r>
        <w:drawing>
          <wp:inline xmlns:a="http://schemas.openxmlformats.org/drawingml/2006/main" xmlns:pic="http://schemas.openxmlformats.org/drawingml/2006/picture">
            <wp:extent cx="4320000" cy="2690677"/>
            <wp:docPr id="2" name="Picture 2"/>
            <wp:cNvGraphicFramePr>
              <a:graphicFrameLocks noChangeAspect="1"/>
            </wp:cNvGraphicFramePr>
            <a:graphic>
              <a:graphicData uri="http://schemas.openxmlformats.org/drawingml/2006/picture">
                <pic:pic>
                  <pic:nvPicPr>
                    <pic:cNvPr id="0" name="category_recall.png"/>
                    <pic:cNvPicPr/>
                  </pic:nvPicPr>
                  <pic:blipFill>
                    <a:blip r:embed="rId10"/>
                    <a:stretch>
                      <a:fillRect/>
                    </a:stretch>
                  </pic:blipFill>
                  <pic:spPr>
                    <a:xfrm>
                      <a:off x="0" y="0"/>
                      <a:ext cx="4320000" cy="2690677"/>
                    </a:xfrm>
                    <a:prstGeom prst="rect"/>
                  </pic:spPr>
                </pic:pic>
              </a:graphicData>
            </a:graphic>
          </wp:inline>
        </w:drawing>
      </w:r>
    </w:p>
    <w:p>
      <w:pPr>
        <w:spacing w:after="240"/>
        <w:jc w:val="center"/>
      </w:pPr>
      <w:r>
        <w:rPr>
          <w:i/>
          <w:color w:val="555555"/>
          <w:sz w:val="18"/>
        </w:rPr>
        <w:t>Figure 2. Detection rate (recall) by attack family on the official test set; families below 50% recall are shown in red. The severe, rare R2L/U2R families are detected far less reliably than DoS/Probe.</w:t>
      </w:r>
    </w:p>
    <w:p>
      <w:pPr>
        <w:spacing w:before="160" w:after="40"/>
      </w:pPr>
      <w:r>
        <w:rPr>
          <w:rFonts w:ascii="Times New Roman" w:hAnsi="Times New Roman"/>
          <w:b/>
          <w:color w:val="1A1A1A"/>
          <w:sz w:val="24"/>
        </w:rPr>
        <w:t>2.3 Methodology gaps</w:t>
      </w:r>
    </w:p>
    <w:p>
      <w:pPr>
        <w:pStyle w:val="ListBullet"/>
        <w:spacing w:after="60"/>
      </w:pPr>
      <w:r>
        <w:rPr>
          <w:rFonts w:ascii="Times New Roman" w:hAnsi="Times New Roman"/>
          <w:b w:val="0"/>
          <w:i w:val="0"/>
          <w:color w:val="1A1A1A"/>
          <w:sz w:val="22"/>
        </w:rPr>
        <w:t>A constant feature, num_outbound_cmds (all zeros in training), is fed to every model.</w:t>
      </w:r>
    </w:p>
    <w:p>
      <w:pPr>
        <w:pStyle w:val="ListBullet"/>
        <w:spacing w:after="60"/>
      </w:pPr>
      <w:r>
        <w:rPr>
          <w:rFonts w:ascii="Times New Roman" w:hAnsi="Times New Roman"/>
          <w:b w:val="0"/>
          <w:i w:val="0"/>
          <w:color w:val="1A1A1A"/>
          <w:sz w:val="22"/>
        </w:rPr>
        <w:t>Evaluation is same-distribution cross-validation, which removes the novel-attack challenge the benchmark was created to pose.</w:t>
      </w:r>
    </w:p>
    <w:p>
      <w:pPr>
        <w:pStyle w:val="ListBullet"/>
        <w:spacing w:after="60"/>
      </w:pPr>
      <w:r>
        <w:rPr>
          <w:rFonts w:ascii="Times New Roman" w:hAnsi="Times New Roman"/>
          <w:b w:val="0"/>
          <w:i w:val="0"/>
          <w:color w:val="1A1A1A"/>
          <w:sz w:val="22"/>
        </w:rPr>
        <w:t>One-hot encoding is not aligned between train and test, a silent reproducibility trap.</w:t>
      </w:r>
    </w:p>
    <w:p>
      <w:pPr>
        <w:pStyle w:val="ListBullet"/>
        <w:spacing w:after="60"/>
      </w:pPr>
      <w:r>
        <w:rPr>
          <w:rFonts w:ascii="Times New Roman" w:hAnsi="Times New Roman"/>
          <w:b w:val="0"/>
          <w:i w:val="0"/>
          <w:color w:val="1A1A1A"/>
          <w:sz w:val="22"/>
        </w:rPr>
        <w:t>Accuracy is the only reported metric; MCC, per-class recall and the false-positive / false-negative trade-off are absent.</w:t>
      </w:r>
    </w:p>
    <w:p>
      <w:pPr>
        <w:pStyle w:val="ListBullet"/>
        <w:spacing w:after="60"/>
      </w:pPr>
      <w:r>
        <w:rPr>
          <w:rFonts w:ascii="Times New Roman" w:hAnsi="Times New Roman"/>
          <w:b w:val="0"/>
          <w:i w:val="0"/>
          <w:color w:val="1A1A1A"/>
          <w:sz w:val="22"/>
        </w:rPr>
        <w:t>A 2009 dataset modelling 1998–1999 traffic is treated as representative of modern networks.</w:t>
      </w:r>
    </w:p>
    <w:p>
      <w:pPr>
        <w:spacing w:after="140"/>
        <w:jc w:val="both"/>
      </w:pPr>
      <w:r>
        <w:rPr>
          <w:rFonts w:ascii="Times New Roman" w:hAnsi="Times New Roman"/>
          <w:b/>
          <w:i w:val="0"/>
          <w:color w:val="1A1A1A"/>
          <w:sz w:val="22"/>
        </w:rPr>
        <w:t>Are the conclusions justified?</w:t>
      </w:r>
      <w:r>
        <w:rPr>
          <w:rFonts w:ascii="Times New Roman" w:hAnsi="Times New Roman"/>
          <w:b w:val="0"/>
          <w:i w:val="0"/>
          <w:color w:val="1A1A1A"/>
          <w:sz w:val="22"/>
        </w:rPr>
        <w:t xml:space="preserve"> 'Random Forest performs best here' is justified. 'Machine learning detects network intrusions almost perfectly' is </w:t>
      </w:r>
      <w:r>
        <w:rPr>
          <w:rFonts w:ascii="Times New Roman" w:hAnsi="Times New Roman"/>
          <w:b/>
          <w:i w:val="0"/>
          <w:color w:val="1A1A1A"/>
          <w:sz w:val="22"/>
        </w:rPr>
        <w:t>not</w:t>
      </w:r>
      <w:r>
        <w:rPr>
          <w:rFonts w:ascii="Times New Roman" w:hAnsi="Times New Roman"/>
          <w:b w:val="0"/>
          <w:i w:val="0"/>
          <w:color w:val="1A1A1A"/>
          <w:sz w:val="22"/>
        </w:rPr>
        <w:t>: the figure is produced by an evaluation that avoids the benchmark's central difficulty.</w:t>
      </w:r>
    </w:p>
    <w:p>
      <w:pPr>
        <w:spacing w:before="240" w:after="80"/>
        <w:pBdr>
          <w:bottom w:val="single" w:sz="6" w:space="2" w:color="999999"/>
        </w:pBdr>
      </w:pPr>
      <w:r>
        <w:rPr>
          <w:rFonts w:ascii="Times New Roman" w:hAnsi="Times New Roman"/>
          <w:b/>
          <w:color w:val="1A1A1A"/>
          <w:sz w:val="30"/>
        </w:rPr>
        <w:t>3. Feature Engineering Analysis</w:t>
      </w:r>
    </w:p>
    <w:p>
      <w:pPr>
        <w:spacing w:after="140"/>
        <w:jc w:val="both"/>
      </w:pPr>
      <w:r>
        <w:rPr>
          <w:rFonts w:ascii="Times New Roman" w:hAnsi="Times New Roman"/>
          <w:b/>
          <w:i w:val="0"/>
          <w:color w:val="1A1A1A"/>
          <w:sz w:val="22"/>
        </w:rPr>
        <w:t>Was feature engineering performed?</w:t>
      </w:r>
      <w:r>
        <w:rPr>
          <w:rFonts w:ascii="Times New Roman" w:hAnsi="Times New Roman"/>
          <w:b w:val="0"/>
          <w:i w:val="0"/>
          <w:color w:val="1A1A1A"/>
          <w:sz w:val="22"/>
        </w:rPr>
        <w:t xml:space="preserve"> The source does minimal preprocessing. We add the steps the data demands. The byte and duration counts are extremely right-tailed (src_bytes spans zero to over a billion), so we apply a </w:t>
      </w:r>
      <w:r>
        <w:rPr>
          <w:rFonts w:ascii="Times New Roman" w:hAnsi="Times New Roman"/>
          <w:b/>
          <w:i w:val="0"/>
          <w:color w:val="1A1A1A"/>
          <w:sz w:val="22"/>
        </w:rPr>
        <w:t>log(1+x) transform</w:t>
      </w:r>
      <w:r>
        <w:rPr>
          <w:rFonts w:ascii="Times New Roman" w:hAnsi="Times New Roman"/>
          <w:b w:val="0"/>
          <w:i w:val="0"/>
          <w:color w:val="1A1A1A"/>
          <w:sz w:val="22"/>
        </w:rPr>
        <w:t xml:space="preserve"> to compress the tail into a usable, near-unimodal shape; without it, distance- and gradient-based models are dominated by a few bulk transfers (Figure 3).</w:t>
      </w:r>
    </w:p>
    <w:p>
      <w:pPr>
        <w:jc w:val="center"/>
      </w:pPr>
      <w:r>
        <w:drawing>
          <wp:inline xmlns:a="http://schemas.openxmlformats.org/drawingml/2006/main" xmlns:pic="http://schemas.openxmlformats.org/drawingml/2006/picture">
            <wp:extent cx="5040000" cy="2071118"/>
            <wp:docPr id="3" name="Picture 3"/>
            <wp:cNvGraphicFramePr>
              <a:graphicFrameLocks noChangeAspect="1"/>
            </wp:cNvGraphicFramePr>
            <a:graphic>
              <a:graphicData uri="http://schemas.openxmlformats.org/drawingml/2006/picture">
                <pic:pic>
                  <pic:nvPicPr>
                    <pic:cNvPr id="0" name="byte_distributions.png"/>
                    <pic:cNvPicPr/>
                  </pic:nvPicPr>
                  <pic:blipFill>
                    <a:blip r:embed="rId11"/>
                    <a:stretch>
                      <a:fillRect/>
                    </a:stretch>
                  </pic:blipFill>
                  <pic:spPr>
                    <a:xfrm>
                      <a:off x="0" y="0"/>
                      <a:ext cx="5040000" cy="2071118"/>
                    </a:xfrm>
                    <a:prstGeom prst="rect"/>
                  </pic:spPr>
                </pic:pic>
              </a:graphicData>
            </a:graphic>
          </wp:inline>
        </w:drawing>
      </w:r>
    </w:p>
    <w:p>
      <w:pPr>
        <w:spacing w:after="240"/>
        <w:jc w:val="center"/>
      </w:pPr>
      <w:r>
        <w:rPr>
          <w:i/>
          <w:color w:val="555555"/>
          <w:sz w:val="18"/>
        </w:rPr>
        <w:t>Figure 3. Byte-volume features after a log(1+x) transform. The raw scale spans nine orders of magnitude; the transform is mathematically necessary, not cosmetic.</w:t>
      </w:r>
    </w:p>
    <w:p>
      <w:pPr>
        <w:spacing w:before="160" w:after="40"/>
      </w:pPr>
      <w:r>
        <w:rPr>
          <w:rFonts w:ascii="Times New Roman" w:hAnsi="Times New Roman"/>
          <w:b/>
          <w:color w:val="1A1A1A"/>
          <w:sz w:val="24"/>
        </w:rPr>
        <w:t>Encoding, scaling, redundancy and selection</w:t>
      </w:r>
    </w:p>
    <w:p>
      <w:pPr>
        <w:pStyle w:val="ListBullet"/>
        <w:spacing w:after="60"/>
      </w:pPr>
      <w:r>
        <w:rPr>
          <w:rFonts w:ascii="Times New Roman" w:hAnsi="Times New Roman"/>
          <w:b/>
          <w:i w:val="0"/>
          <w:color w:val="1A1A1A"/>
          <w:sz w:val="22"/>
        </w:rPr>
        <w:t>Encoding:</w:t>
      </w:r>
      <w:r>
        <w:rPr>
          <w:rFonts w:ascii="Times New Roman" w:hAnsi="Times New Roman"/>
          <w:b w:val="0"/>
          <w:i w:val="0"/>
          <w:color w:val="1A1A1A"/>
          <w:sz w:val="22"/>
        </w:rPr>
        <w:t xml:space="preserve"> the three nominal features (protocol, service, flag) are </w:t>
      </w:r>
      <w:r>
        <w:rPr>
          <w:rFonts w:ascii="Times New Roman" w:hAnsi="Times New Roman"/>
          <w:b/>
          <w:i w:val="0"/>
          <w:color w:val="1A1A1A"/>
          <w:sz w:val="22"/>
        </w:rPr>
        <w:t>one-hot encoded</w:t>
      </w:r>
      <w:r>
        <w:rPr>
          <w:rFonts w:ascii="Times New Roman" w:hAnsi="Times New Roman"/>
          <w:b w:val="0"/>
          <w:i w:val="0"/>
          <w:color w:val="1A1A1A"/>
          <w:sz w:val="22"/>
        </w:rPr>
        <w:t xml:space="preserve"> rather than integer-labelled, which would invent a false ordering. The one-hot space is fixed on training and the test set re-indexed onto it so the two stay aligned.</w:t>
      </w:r>
    </w:p>
    <w:p>
      <w:pPr>
        <w:pStyle w:val="ListBullet"/>
        <w:spacing w:after="60"/>
      </w:pPr>
      <w:r>
        <w:rPr>
          <w:rFonts w:ascii="Times New Roman" w:hAnsi="Times New Roman"/>
          <w:b/>
          <w:i w:val="0"/>
          <w:color w:val="1A1A1A"/>
          <w:sz w:val="22"/>
        </w:rPr>
        <w:t>Scaling:</w:t>
      </w:r>
      <w:r>
        <w:rPr>
          <w:rFonts w:ascii="Times New Roman" w:hAnsi="Times New Roman"/>
          <w:b w:val="0"/>
          <w:i w:val="0"/>
          <w:color w:val="1A1A1A"/>
          <w:sz w:val="22"/>
        </w:rPr>
        <w:t xml:space="preserve"> linear, naive-Bayes and SVM models are pipelined with StandardScaler (fit on training folds only); tree ensembles are scale-invariant and need none.</w:t>
      </w:r>
    </w:p>
    <w:p>
      <w:pPr>
        <w:pStyle w:val="ListBullet"/>
        <w:spacing w:after="60"/>
      </w:pPr>
      <w:r>
        <w:rPr>
          <w:rFonts w:ascii="Times New Roman" w:hAnsi="Times New Roman"/>
          <w:b/>
          <w:i w:val="0"/>
          <w:color w:val="1A1A1A"/>
          <w:sz w:val="22"/>
        </w:rPr>
        <w:t>Redundancy:</w:t>
      </w:r>
      <w:r>
        <w:rPr>
          <w:rFonts w:ascii="Times New Roman" w:hAnsi="Times New Roman"/>
          <w:b w:val="0"/>
          <w:i w:val="0"/>
          <w:color w:val="1A1A1A"/>
          <w:sz w:val="22"/>
        </w:rPr>
        <w:t xml:space="preserve"> whole blocks of features are near-perfectly correlated (the serror group, the dst_host host-based aggregates). We detect this with a Spearman correlation matrix (Figure 4) and rely on mutual-information ranking and tree ensembles rather than feeding all features in blindly.</w:t>
      </w:r>
    </w:p>
    <w:p>
      <w:pPr>
        <w:pStyle w:val="ListBullet"/>
        <w:spacing w:after="60"/>
      </w:pPr>
      <w:r>
        <w:rPr>
          <w:rFonts w:ascii="Times New Roman" w:hAnsi="Times New Roman"/>
          <w:b/>
          <w:i w:val="0"/>
          <w:color w:val="1A1A1A"/>
          <w:sz w:val="22"/>
        </w:rPr>
        <w:t>Selection:</w:t>
      </w:r>
      <w:r>
        <w:rPr>
          <w:rFonts w:ascii="Times New Roman" w:hAnsi="Times New Roman"/>
          <w:b w:val="0"/>
          <w:i w:val="0"/>
          <w:color w:val="1A1A1A"/>
          <w:sz w:val="22"/>
        </w:rPr>
        <w:t xml:space="preserve"> mutual information confirms that a modest subset (flag, service, count and host-based rates) carries most of the signal.</w:t>
      </w:r>
    </w:p>
    <w:p>
      <w:pPr>
        <w:jc w:val="center"/>
      </w:pPr>
      <w:r>
        <w:drawing>
          <wp:inline xmlns:a="http://schemas.openxmlformats.org/drawingml/2006/main" xmlns:pic="http://schemas.openxmlformats.org/drawingml/2006/picture">
            <wp:extent cx="4680000" cy="4209321"/>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680000" cy="4209321"/>
                    </a:xfrm>
                    <a:prstGeom prst="rect"/>
                  </pic:spPr>
                </pic:pic>
              </a:graphicData>
            </a:graphic>
          </wp:inline>
        </w:drawing>
      </w:r>
    </w:p>
    <w:p>
      <w:pPr>
        <w:spacing w:after="240"/>
        <w:jc w:val="center"/>
      </w:pPr>
      <w:r>
        <w:rPr>
          <w:i/>
          <w:color w:val="555555"/>
          <w:sz w:val="18"/>
        </w:rPr>
        <w:t>Figure 4. Spearman correlation among numeric features (chosen over Pearson because the features are skewed, non-linear counts and rates). Bright off-diagonal blocks indicate redundancy.</w:t>
      </w:r>
    </w:p>
    <w:p>
      <w:pPr>
        <w:jc w:val="center"/>
      </w:pPr>
      <w:r>
        <w:drawing>
          <wp:inline xmlns:a="http://schemas.openxmlformats.org/drawingml/2006/main" xmlns:pic="http://schemas.openxmlformats.org/drawingml/2006/picture">
            <wp:extent cx="4140000" cy="2516471"/>
            <wp:docPr id="5" name="Picture 5"/>
            <wp:cNvGraphicFramePr>
              <a:graphicFrameLocks noChangeAspect="1"/>
            </wp:cNvGraphicFramePr>
            <a:graphic>
              <a:graphicData uri="http://schemas.openxmlformats.org/drawingml/2006/picture">
                <pic:pic>
                  <pic:nvPicPr>
                    <pic:cNvPr id="0" name="mutual_information.png"/>
                    <pic:cNvPicPr/>
                  </pic:nvPicPr>
                  <pic:blipFill>
                    <a:blip r:embed="rId13"/>
                    <a:stretch>
                      <a:fillRect/>
                    </a:stretch>
                  </pic:blipFill>
                  <pic:spPr>
                    <a:xfrm>
                      <a:off x="0" y="0"/>
                      <a:ext cx="4140000" cy="2516471"/>
                    </a:xfrm>
                    <a:prstGeom prst="rect"/>
                  </pic:spPr>
                </pic:pic>
              </a:graphicData>
            </a:graphic>
          </wp:inline>
        </w:drawing>
      </w:r>
    </w:p>
    <w:p>
      <w:pPr>
        <w:spacing w:after="240"/>
        <w:jc w:val="center"/>
      </w:pPr>
      <w:r>
        <w:rPr>
          <w:i/>
          <w:color w:val="555555"/>
          <w:sz w:val="18"/>
        </w:rPr>
        <w:t>Figure 5. Top features by mutual information with the label, used for transparent feature selection that preserves the original meaning of each feature.</w:t>
      </w:r>
    </w:p>
    <w:p>
      <w:pPr>
        <w:spacing w:before="160" w:after="40"/>
      </w:pPr>
      <w:r>
        <w:rPr>
          <w:rFonts w:ascii="Times New Roman" w:hAnsi="Times New Roman"/>
          <w:b/>
          <w:color w:val="1A1A1A"/>
          <w:sz w:val="24"/>
        </w:rPr>
        <w:t>Additional features that could help</w:t>
      </w:r>
    </w:p>
    <w:p>
      <w:pPr>
        <w:pStyle w:val="ListBullet"/>
        <w:spacing w:after="60"/>
      </w:pPr>
      <w:r>
        <w:rPr>
          <w:rFonts w:ascii="Times New Roman" w:hAnsi="Times New Roman"/>
          <w:b w:val="0"/>
          <w:i w:val="0"/>
          <w:color w:val="1A1A1A"/>
          <w:sz w:val="22"/>
        </w:rPr>
        <w:t>Time-window aggregates from raw flows (connections per host per minute) for modern captures.</w:t>
      </w:r>
    </w:p>
    <w:p>
      <w:pPr>
        <w:pStyle w:val="ListBullet"/>
        <w:spacing w:after="60"/>
      </w:pPr>
      <w:r>
        <w:rPr>
          <w:rFonts w:ascii="Times New Roman" w:hAnsi="Times New Roman"/>
          <w:b w:val="0"/>
          <w:i w:val="0"/>
          <w:color w:val="1A1A1A"/>
          <w:sz w:val="22"/>
        </w:rPr>
        <w:t>Payload/entropy features to separate stealthy R2L/U2R sessions from benign logins.</w:t>
      </w:r>
    </w:p>
    <w:p>
      <w:pPr>
        <w:pStyle w:val="ListBullet"/>
        <w:spacing w:after="60"/>
      </w:pPr>
      <w:r>
        <w:rPr>
          <w:rFonts w:ascii="Times New Roman" w:hAnsi="Times New Roman"/>
          <w:b w:val="0"/>
          <w:i w:val="0"/>
          <w:color w:val="1A1A1A"/>
          <w:sz w:val="22"/>
        </w:rPr>
        <w:t>Cost-sensitive class weights or resampling to lift the rare-but-severe families.</w:t>
      </w:r>
    </w:p>
    <w:p>
      <w:pPr>
        <w:spacing w:before="240" w:after="80"/>
        <w:pBdr>
          <w:bottom w:val="single" w:sz="6" w:space="2" w:color="999999"/>
        </w:pBdr>
      </w:pPr>
      <w:r>
        <w:rPr>
          <w:rFonts w:ascii="Times New Roman" w:hAnsi="Times New Roman"/>
          <w:b/>
          <w:color w:val="1A1A1A"/>
          <w:sz w:val="30"/>
        </w:rPr>
        <w:t>4. Reproducibility Analysis</w:t>
      </w:r>
    </w:p>
    <w:p>
      <w:pPr>
        <w:pStyle w:val="ListBullet"/>
        <w:spacing w:after="60"/>
      </w:pPr>
      <w:r>
        <w:rPr>
          <w:rFonts w:ascii="Times New Roman" w:hAnsi="Times New Roman"/>
          <w:b/>
          <w:i w:val="0"/>
          <w:color w:val="1A1A1A"/>
          <w:sz w:val="22"/>
        </w:rPr>
        <w:t>Can the code run?</w:t>
      </w:r>
      <w:r>
        <w:rPr>
          <w:rFonts w:ascii="Times New Roman" w:hAnsi="Times New Roman"/>
          <w:b w:val="0"/>
          <w:i w:val="0"/>
          <w:color w:val="1A1A1A"/>
          <w:sz w:val="22"/>
        </w:rPr>
        <w:t xml:space="preserve"> Yes; given the public NSL-KDD files the pipeline executes end-to-end (we reproduced it).</w:t>
      </w:r>
    </w:p>
    <w:p>
      <w:pPr>
        <w:pStyle w:val="ListBullet"/>
        <w:spacing w:after="60"/>
      </w:pPr>
      <w:r>
        <w:rPr>
          <w:rFonts w:ascii="Times New Roman" w:hAnsi="Times New Roman"/>
          <w:b/>
          <w:i w:val="0"/>
          <w:color w:val="1A1A1A"/>
          <w:sz w:val="22"/>
        </w:rPr>
        <w:t>Hidden preprocessing:</w:t>
      </w:r>
      <w:r>
        <w:rPr>
          <w:rFonts w:ascii="Times New Roman" w:hAnsi="Times New Roman"/>
          <w:b w:val="0"/>
          <w:i w:val="0"/>
          <w:color w:val="1A1A1A"/>
          <w:sz w:val="22"/>
        </w:rPr>
        <w:t xml:space="preserve"> the trailing difficulty column is a builder artefact that leaks the answer if used as a feature; the constant num_outbound_cmds adds noise. Neither is flagged by the source.</w:t>
      </w:r>
    </w:p>
    <w:p>
      <w:pPr>
        <w:pStyle w:val="ListBullet"/>
        <w:spacing w:after="60"/>
      </w:pPr>
      <w:r>
        <w:rPr>
          <w:rFonts w:ascii="Times New Roman" w:hAnsi="Times New Roman"/>
          <w:b/>
          <w:i w:val="0"/>
          <w:color w:val="1A1A1A"/>
          <w:sz w:val="22"/>
        </w:rPr>
        <w:t>The reproducibility trap:</w:t>
      </w:r>
      <w:r>
        <w:rPr>
          <w:rFonts w:ascii="Times New Roman" w:hAnsi="Times New Roman"/>
          <w:b w:val="0"/>
          <w:i w:val="0"/>
          <w:color w:val="1A1A1A"/>
          <w:sz w:val="22"/>
        </w:rPr>
        <w:t xml:space="preserve"> one-hot encoding train and test independently yields different column sets; without explicit alignment the model breaks or, worse, mis-maps features.</w:t>
      </w:r>
    </w:p>
    <w:p>
      <w:pPr>
        <w:pStyle w:val="ListBullet"/>
        <w:spacing w:after="60"/>
      </w:pPr>
      <w:r>
        <w:rPr>
          <w:rFonts w:ascii="Times New Roman" w:hAnsi="Times New Roman"/>
          <w:b/>
          <w:i w:val="0"/>
          <w:color w:val="1A1A1A"/>
          <w:sz w:val="22"/>
        </w:rPr>
        <w:t>External validity:</w:t>
      </w:r>
      <w:r>
        <w:rPr>
          <w:rFonts w:ascii="Times New Roman" w:hAnsi="Times New Roman"/>
          <w:b w:val="0"/>
          <w:i w:val="0"/>
          <w:color w:val="1A1A1A"/>
          <w:sz w:val="22"/>
        </w:rPr>
        <w:t xml:space="preserve"> results are reproducible on NSL-KDD but the dataset is a frozen 1998–1999 simulation, so reproducing the number says nothing about current traffic.</w:t>
      </w:r>
    </w:p>
    <w:p>
      <w:pPr>
        <w:spacing w:before="240" w:after="80"/>
        <w:pBdr>
          <w:bottom w:val="single" w:sz="6" w:space="2" w:color="999999"/>
        </w:pBdr>
      </w:pPr>
      <w:r>
        <w:rPr>
          <w:rFonts w:ascii="Times New Roman" w:hAnsi="Times New Roman"/>
          <w:b/>
          <w:color w:val="1A1A1A"/>
          <w:sz w:val="30"/>
        </w:rPr>
        <w:t>5. Experimental Results</w:t>
      </w:r>
    </w:p>
    <w:p>
      <w:pPr>
        <w:spacing w:after="140"/>
        <w:jc w:val="both"/>
      </w:pPr>
      <w:r>
        <w:rPr>
          <w:rFonts w:ascii="Times New Roman" w:hAnsi="Times New Roman"/>
          <w:b w:val="0"/>
          <w:i w:val="0"/>
          <w:color w:val="1A1A1A"/>
          <w:sz w:val="22"/>
        </w:rPr>
        <w:t>We trained six classifiers (Logistic Regression, Gaussian Naive Bayes, Linear SVM, Decision Tree, Random Forest, XGBoost) with a fixed seed, 5-fold stratified cross-validation for the same-distribution protocol, and the official KDDTest+ for the honest protocol. We led with MCC and F2 (recall-weighted, because a missed attack is costlier than a false alarm). Results, sorted by test-set MCC:</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E6E6E6"/>
          </w:tcPr>
          <w:p>
            <w:pPr>
              <w:jc w:val="center"/>
            </w:pPr>
            <w:r>
              <w:rPr>
                <w:b/>
                <w:sz w:val="16"/>
              </w:rPr>
              <w:t>Model</w:t>
            </w:r>
          </w:p>
        </w:tc>
        <w:tc>
          <w:tcPr>
            <w:tcW w:type="dxa" w:w="1072"/>
            <w:shd w:val="clear" w:color="auto" w:fill="E6E6E6"/>
          </w:tcPr>
          <w:p>
            <w:pPr>
              <w:jc w:val="center"/>
            </w:pPr>
            <w:r>
              <w:rPr>
                <w:b/>
                <w:sz w:val="16"/>
              </w:rPr>
              <w:t>CV acc</w:t>
            </w:r>
          </w:p>
        </w:tc>
        <w:tc>
          <w:tcPr>
            <w:tcW w:type="dxa" w:w="1072"/>
            <w:shd w:val="clear" w:color="auto" w:fill="E6E6E6"/>
          </w:tcPr>
          <w:p>
            <w:pPr>
              <w:jc w:val="center"/>
            </w:pPr>
            <w:r>
              <w:rPr>
                <w:b/>
                <w:sz w:val="16"/>
              </w:rPr>
              <w:t>Test acc</w:t>
            </w:r>
          </w:p>
        </w:tc>
        <w:tc>
          <w:tcPr>
            <w:tcW w:type="dxa" w:w="1072"/>
            <w:shd w:val="clear" w:color="auto" w:fill="E6E6E6"/>
          </w:tcPr>
          <w:p>
            <w:pPr>
              <w:jc w:val="center"/>
            </w:pPr>
            <w:r>
              <w:rPr>
                <w:b/>
                <w:sz w:val="16"/>
              </w:rPr>
              <w:t>Prec</w:t>
            </w:r>
          </w:p>
        </w:tc>
        <w:tc>
          <w:tcPr>
            <w:tcW w:type="dxa" w:w="1072"/>
            <w:shd w:val="clear" w:color="auto" w:fill="E6E6E6"/>
          </w:tcPr>
          <w:p>
            <w:pPr>
              <w:jc w:val="center"/>
            </w:pPr>
            <w:r>
              <w:rPr>
                <w:b/>
                <w:sz w:val="16"/>
              </w:rPr>
              <w:t>Recall</w:t>
            </w:r>
          </w:p>
        </w:tc>
        <w:tc>
          <w:tcPr>
            <w:tcW w:type="dxa" w:w="1072"/>
            <w:shd w:val="clear" w:color="auto" w:fill="E6E6E6"/>
          </w:tcPr>
          <w:p>
            <w:pPr>
              <w:jc w:val="center"/>
            </w:pPr>
            <w:r>
              <w:rPr>
                <w:b/>
                <w:sz w:val="16"/>
              </w:rPr>
              <w:t>F1</w:t>
            </w:r>
          </w:p>
        </w:tc>
        <w:tc>
          <w:tcPr>
            <w:tcW w:type="dxa" w:w="1072"/>
            <w:shd w:val="clear" w:color="auto" w:fill="E6E6E6"/>
          </w:tcPr>
          <w:p>
            <w:pPr>
              <w:jc w:val="center"/>
            </w:pPr>
            <w:r>
              <w:rPr>
                <w:b/>
                <w:sz w:val="16"/>
              </w:rPr>
              <w:t>F2</w:t>
            </w:r>
          </w:p>
        </w:tc>
        <w:tc>
          <w:tcPr>
            <w:tcW w:type="dxa" w:w="1072"/>
            <w:shd w:val="clear" w:color="auto" w:fill="E6E6E6"/>
          </w:tcPr>
          <w:p>
            <w:pPr>
              <w:jc w:val="center"/>
            </w:pPr>
            <w:r>
              <w:rPr>
                <w:b/>
                <w:sz w:val="16"/>
              </w:rPr>
              <w:t>MCC</w:t>
            </w:r>
          </w:p>
        </w:tc>
        <w:tc>
          <w:tcPr>
            <w:tcW w:type="dxa" w:w="1072"/>
            <w:shd w:val="clear" w:color="auto" w:fill="E6E6E6"/>
          </w:tcPr>
          <w:p>
            <w:pPr>
              <w:jc w:val="center"/>
            </w:pPr>
            <w:r>
              <w:rPr>
                <w:b/>
                <w:sz w:val="16"/>
              </w:rPr>
              <w:t>ROC-AUC</w:t>
            </w:r>
          </w:p>
        </w:tc>
      </w:tr>
      <w:tr>
        <w:tc>
          <w:tcPr>
            <w:tcW w:type="dxa" w:w="1072"/>
          </w:tcPr>
          <w:p>
            <w:pPr>
              <w:jc w:val="left"/>
            </w:pPr>
            <w:r>
              <w:rPr>
                <w:sz w:val="16"/>
              </w:rPr>
              <w:t>XGBoost</w:t>
            </w:r>
          </w:p>
        </w:tc>
        <w:tc>
          <w:tcPr>
            <w:tcW w:type="dxa" w:w="1072"/>
          </w:tcPr>
          <w:p>
            <w:pPr>
              <w:jc w:val="center"/>
            </w:pPr>
            <w:r>
              <w:rPr>
                <w:sz w:val="16"/>
              </w:rPr>
              <w:t>0.999</w:t>
            </w:r>
          </w:p>
        </w:tc>
        <w:tc>
          <w:tcPr>
            <w:tcW w:type="dxa" w:w="1072"/>
          </w:tcPr>
          <w:p>
            <w:pPr>
              <w:jc w:val="center"/>
            </w:pPr>
            <w:r>
              <w:rPr>
                <w:sz w:val="16"/>
              </w:rPr>
              <w:t>0.795</w:t>
            </w:r>
          </w:p>
        </w:tc>
        <w:tc>
          <w:tcPr>
            <w:tcW w:type="dxa" w:w="1072"/>
          </w:tcPr>
          <w:p>
            <w:pPr>
              <w:jc w:val="center"/>
            </w:pPr>
            <w:r>
              <w:rPr>
                <w:sz w:val="16"/>
              </w:rPr>
              <w:t>0.969</w:t>
            </w:r>
          </w:p>
        </w:tc>
        <w:tc>
          <w:tcPr>
            <w:tcW w:type="dxa" w:w="1072"/>
          </w:tcPr>
          <w:p>
            <w:pPr>
              <w:jc w:val="center"/>
            </w:pPr>
            <w:r>
              <w:rPr>
                <w:sz w:val="16"/>
              </w:rPr>
              <w:t>0.661</w:t>
            </w:r>
          </w:p>
        </w:tc>
        <w:tc>
          <w:tcPr>
            <w:tcW w:type="dxa" w:w="1072"/>
          </w:tcPr>
          <w:p>
            <w:pPr>
              <w:jc w:val="center"/>
            </w:pPr>
            <w:r>
              <w:rPr>
                <w:sz w:val="16"/>
              </w:rPr>
              <w:t>0.786</w:t>
            </w:r>
          </w:p>
        </w:tc>
        <w:tc>
          <w:tcPr>
            <w:tcW w:type="dxa" w:w="1072"/>
          </w:tcPr>
          <w:p>
            <w:pPr>
              <w:jc w:val="center"/>
            </w:pPr>
            <w:r>
              <w:rPr>
                <w:sz w:val="16"/>
              </w:rPr>
              <w:t>0.706</w:t>
            </w:r>
          </w:p>
        </w:tc>
        <w:tc>
          <w:tcPr>
            <w:tcW w:type="dxa" w:w="1072"/>
          </w:tcPr>
          <w:p>
            <w:pPr>
              <w:jc w:val="center"/>
            </w:pPr>
            <w:r>
              <w:rPr>
                <w:sz w:val="16"/>
              </w:rPr>
              <w:t>0.643</w:t>
            </w:r>
          </w:p>
        </w:tc>
        <w:tc>
          <w:tcPr>
            <w:tcW w:type="dxa" w:w="1072"/>
          </w:tcPr>
          <w:p>
            <w:pPr>
              <w:jc w:val="center"/>
            </w:pPr>
            <w:r>
              <w:rPr>
                <w:sz w:val="16"/>
              </w:rPr>
              <w:t>0.967</w:t>
            </w:r>
          </w:p>
        </w:tc>
      </w:tr>
      <w:tr>
        <w:tc>
          <w:tcPr>
            <w:tcW w:type="dxa" w:w="1072"/>
            <w:shd w:val="clear" w:color="auto" w:fill="F4F4F4"/>
          </w:tcPr>
          <w:p>
            <w:pPr>
              <w:jc w:val="left"/>
            </w:pPr>
            <w:r>
              <w:rPr>
                <w:sz w:val="16"/>
              </w:rPr>
              <w:t>Decision Tree</w:t>
            </w:r>
          </w:p>
        </w:tc>
        <w:tc>
          <w:tcPr>
            <w:tcW w:type="dxa" w:w="1072"/>
            <w:shd w:val="clear" w:color="auto" w:fill="F4F4F4"/>
          </w:tcPr>
          <w:p>
            <w:pPr>
              <w:jc w:val="center"/>
            </w:pPr>
            <w:r>
              <w:rPr>
                <w:sz w:val="16"/>
              </w:rPr>
              <w:t>0.998</w:t>
            </w:r>
          </w:p>
        </w:tc>
        <w:tc>
          <w:tcPr>
            <w:tcW w:type="dxa" w:w="1072"/>
            <w:shd w:val="clear" w:color="auto" w:fill="F4F4F4"/>
          </w:tcPr>
          <w:p>
            <w:pPr>
              <w:jc w:val="center"/>
            </w:pPr>
            <w:r>
              <w:rPr>
                <w:sz w:val="16"/>
              </w:rPr>
              <w:t>0.790</w:t>
            </w:r>
          </w:p>
        </w:tc>
        <w:tc>
          <w:tcPr>
            <w:tcW w:type="dxa" w:w="1072"/>
            <w:shd w:val="clear" w:color="auto" w:fill="F4F4F4"/>
          </w:tcPr>
          <w:p>
            <w:pPr>
              <w:jc w:val="center"/>
            </w:pPr>
            <w:r>
              <w:rPr>
                <w:sz w:val="16"/>
              </w:rPr>
              <w:t>0.959</w:t>
            </w:r>
          </w:p>
        </w:tc>
        <w:tc>
          <w:tcPr>
            <w:tcW w:type="dxa" w:w="1072"/>
            <w:shd w:val="clear" w:color="auto" w:fill="F4F4F4"/>
          </w:tcPr>
          <w:p>
            <w:pPr>
              <w:jc w:val="center"/>
            </w:pPr>
            <w:r>
              <w:rPr>
                <w:sz w:val="16"/>
              </w:rPr>
              <w:t>0.660</w:t>
            </w:r>
          </w:p>
        </w:tc>
        <w:tc>
          <w:tcPr>
            <w:tcW w:type="dxa" w:w="1072"/>
            <w:shd w:val="clear" w:color="auto" w:fill="F4F4F4"/>
          </w:tcPr>
          <w:p>
            <w:pPr>
              <w:jc w:val="center"/>
            </w:pPr>
            <w:r>
              <w:rPr>
                <w:sz w:val="16"/>
              </w:rPr>
              <w:t>0.782</w:t>
            </w:r>
          </w:p>
        </w:tc>
        <w:tc>
          <w:tcPr>
            <w:tcW w:type="dxa" w:w="1072"/>
            <w:shd w:val="clear" w:color="auto" w:fill="F4F4F4"/>
          </w:tcPr>
          <w:p>
            <w:pPr>
              <w:jc w:val="center"/>
            </w:pPr>
            <w:r>
              <w:rPr>
                <w:sz w:val="16"/>
              </w:rPr>
              <w:t>0.704</w:t>
            </w:r>
          </w:p>
        </w:tc>
        <w:tc>
          <w:tcPr>
            <w:tcW w:type="dxa" w:w="1072"/>
            <w:shd w:val="clear" w:color="auto" w:fill="F4F4F4"/>
          </w:tcPr>
          <w:p>
            <w:pPr>
              <w:jc w:val="center"/>
            </w:pPr>
            <w:r>
              <w:rPr>
                <w:sz w:val="16"/>
              </w:rPr>
              <w:t>0.632</w:t>
            </w:r>
          </w:p>
        </w:tc>
        <w:tc>
          <w:tcPr>
            <w:tcW w:type="dxa" w:w="1072"/>
            <w:shd w:val="clear" w:color="auto" w:fill="F4F4F4"/>
          </w:tcPr>
          <w:p>
            <w:pPr>
              <w:jc w:val="center"/>
            </w:pPr>
            <w:r>
              <w:rPr>
                <w:sz w:val="16"/>
              </w:rPr>
              <w:t>0.735</w:t>
            </w:r>
          </w:p>
        </w:tc>
      </w:tr>
      <w:tr>
        <w:tc>
          <w:tcPr>
            <w:tcW w:type="dxa" w:w="1072"/>
          </w:tcPr>
          <w:p>
            <w:pPr>
              <w:jc w:val="left"/>
            </w:pPr>
            <w:r>
              <w:rPr>
                <w:sz w:val="16"/>
              </w:rPr>
              <w:t>Random Forest</w:t>
            </w:r>
          </w:p>
        </w:tc>
        <w:tc>
          <w:tcPr>
            <w:tcW w:type="dxa" w:w="1072"/>
          </w:tcPr>
          <w:p>
            <w:pPr>
              <w:jc w:val="center"/>
            </w:pPr>
            <w:r>
              <w:rPr>
                <w:sz w:val="16"/>
              </w:rPr>
              <w:t>0.999</w:t>
            </w:r>
          </w:p>
        </w:tc>
        <w:tc>
          <w:tcPr>
            <w:tcW w:type="dxa" w:w="1072"/>
          </w:tcPr>
          <w:p>
            <w:pPr>
              <w:jc w:val="center"/>
            </w:pPr>
            <w:r>
              <w:rPr>
                <w:sz w:val="16"/>
              </w:rPr>
              <w:t>0.778</w:t>
            </w:r>
          </w:p>
        </w:tc>
        <w:tc>
          <w:tcPr>
            <w:tcW w:type="dxa" w:w="1072"/>
          </w:tcPr>
          <w:p>
            <w:pPr>
              <w:jc w:val="center"/>
            </w:pPr>
            <w:r>
              <w:rPr>
                <w:sz w:val="16"/>
              </w:rPr>
              <w:t>0.969</w:t>
            </w:r>
          </w:p>
        </w:tc>
        <w:tc>
          <w:tcPr>
            <w:tcW w:type="dxa" w:w="1072"/>
          </w:tcPr>
          <w:p>
            <w:pPr>
              <w:jc w:val="center"/>
            </w:pPr>
            <w:r>
              <w:rPr>
                <w:sz w:val="16"/>
              </w:rPr>
              <w:t>0.630</w:t>
            </w:r>
          </w:p>
        </w:tc>
        <w:tc>
          <w:tcPr>
            <w:tcW w:type="dxa" w:w="1072"/>
          </w:tcPr>
          <w:p>
            <w:pPr>
              <w:jc w:val="center"/>
            </w:pPr>
            <w:r>
              <w:rPr>
                <w:sz w:val="16"/>
              </w:rPr>
              <w:t>0.764</w:t>
            </w:r>
          </w:p>
        </w:tc>
        <w:tc>
          <w:tcPr>
            <w:tcW w:type="dxa" w:w="1072"/>
          </w:tcPr>
          <w:p>
            <w:pPr>
              <w:jc w:val="center"/>
            </w:pPr>
            <w:r>
              <w:rPr>
                <w:sz w:val="16"/>
              </w:rPr>
              <w:t>0.677</w:t>
            </w:r>
          </w:p>
        </w:tc>
        <w:tc>
          <w:tcPr>
            <w:tcW w:type="dxa" w:w="1072"/>
          </w:tcPr>
          <w:p>
            <w:pPr>
              <w:jc w:val="center"/>
            </w:pPr>
            <w:r>
              <w:rPr>
                <w:sz w:val="16"/>
              </w:rPr>
              <w:t>0.619</w:t>
            </w:r>
          </w:p>
        </w:tc>
        <w:tc>
          <w:tcPr>
            <w:tcW w:type="dxa" w:w="1072"/>
          </w:tcPr>
          <w:p>
            <w:pPr>
              <w:jc w:val="center"/>
            </w:pPr>
            <w:r>
              <w:rPr>
                <w:sz w:val="16"/>
              </w:rPr>
              <w:t>0.960</w:t>
            </w:r>
          </w:p>
        </w:tc>
      </w:tr>
      <w:tr>
        <w:tc>
          <w:tcPr>
            <w:tcW w:type="dxa" w:w="1072"/>
            <w:shd w:val="clear" w:color="auto" w:fill="F4F4F4"/>
          </w:tcPr>
          <w:p>
            <w:pPr>
              <w:jc w:val="left"/>
            </w:pPr>
            <w:r>
              <w:rPr>
                <w:sz w:val="16"/>
              </w:rPr>
              <w:t>Logistic Regression</w:t>
            </w:r>
          </w:p>
        </w:tc>
        <w:tc>
          <w:tcPr>
            <w:tcW w:type="dxa" w:w="1072"/>
            <w:shd w:val="clear" w:color="auto" w:fill="F4F4F4"/>
          </w:tcPr>
          <w:p>
            <w:pPr>
              <w:jc w:val="center"/>
            </w:pPr>
            <w:r>
              <w:rPr>
                <w:sz w:val="16"/>
              </w:rPr>
              <w:t>0.975</w:t>
            </w:r>
          </w:p>
        </w:tc>
        <w:tc>
          <w:tcPr>
            <w:tcW w:type="dxa" w:w="1072"/>
            <w:shd w:val="clear" w:color="auto" w:fill="F4F4F4"/>
          </w:tcPr>
          <w:p>
            <w:pPr>
              <w:jc w:val="center"/>
            </w:pPr>
            <w:r>
              <w:rPr>
                <w:sz w:val="16"/>
              </w:rPr>
              <w:t>0.752</w:t>
            </w:r>
          </w:p>
        </w:tc>
        <w:tc>
          <w:tcPr>
            <w:tcW w:type="dxa" w:w="1072"/>
            <w:shd w:val="clear" w:color="auto" w:fill="F4F4F4"/>
          </w:tcPr>
          <w:p>
            <w:pPr>
              <w:jc w:val="center"/>
            </w:pPr>
            <w:r>
              <w:rPr>
                <w:sz w:val="16"/>
              </w:rPr>
              <w:t>0.915</w:t>
            </w:r>
          </w:p>
        </w:tc>
        <w:tc>
          <w:tcPr>
            <w:tcW w:type="dxa" w:w="1072"/>
            <w:shd w:val="clear" w:color="auto" w:fill="F4F4F4"/>
          </w:tcPr>
          <w:p>
            <w:pPr>
              <w:jc w:val="center"/>
            </w:pPr>
            <w:r>
              <w:rPr>
                <w:sz w:val="16"/>
              </w:rPr>
              <w:t>0.622</w:t>
            </w:r>
          </w:p>
        </w:tc>
        <w:tc>
          <w:tcPr>
            <w:tcW w:type="dxa" w:w="1072"/>
            <w:shd w:val="clear" w:color="auto" w:fill="F4F4F4"/>
          </w:tcPr>
          <w:p>
            <w:pPr>
              <w:jc w:val="center"/>
            </w:pPr>
            <w:r>
              <w:rPr>
                <w:sz w:val="16"/>
              </w:rPr>
              <w:t>0.741</w:t>
            </w:r>
          </w:p>
        </w:tc>
        <w:tc>
          <w:tcPr>
            <w:tcW w:type="dxa" w:w="1072"/>
            <w:shd w:val="clear" w:color="auto" w:fill="F4F4F4"/>
          </w:tcPr>
          <w:p>
            <w:pPr>
              <w:jc w:val="center"/>
            </w:pPr>
            <w:r>
              <w:rPr>
                <w:sz w:val="16"/>
              </w:rPr>
              <w:t>0.665</w:t>
            </w:r>
          </w:p>
        </w:tc>
        <w:tc>
          <w:tcPr>
            <w:tcW w:type="dxa" w:w="1072"/>
            <w:shd w:val="clear" w:color="auto" w:fill="F4F4F4"/>
          </w:tcPr>
          <w:p>
            <w:pPr>
              <w:jc w:val="center"/>
            </w:pPr>
            <w:r>
              <w:rPr>
                <w:sz w:val="16"/>
              </w:rPr>
              <w:t>0.554</w:t>
            </w:r>
          </w:p>
        </w:tc>
        <w:tc>
          <w:tcPr>
            <w:tcW w:type="dxa" w:w="1072"/>
            <w:shd w:val="clear" w:color="auto" w:fill="F4F4F4"/>
          </w:tcPr>
          <w:p>
            <w:pPr>
              <w:jc w:val="center"/>
            </w:pPr>
            <w:r>
              <w:rPr>
                <w:sz w:val="16"/>
              </w:rPr>
              <w:t>0.770</w:t>
            </w:r>
          </w:p>
        </w:tc>
      </w:tr>
      <w:tr>
        <w:tc>
          <w:tcPr>
            <w:tcW w:type="dxa" w:w="1072"/>
          </w:tcPr>
          <w:p>
            <w:pPr>
              <w:jc w:val="left"/>
            </w:pPr>
            <w:r>
              <w:rPr>
                <w:sz w:val="16"/>
              </w:rPr>
              <w:t>Linear SVM</w:t>
            </w:r>
          </w:p>
        </w:tc>
        <w:tc>
          <w:tcPr>
            <w:tcW w:type="dxa" w:w="1072"/>
          </w:tcPr>
          <w:p>
            <w:pPr>
              <w:jc w:val="center"/>
            </w:pPr>
            <w:r>
              <w:rPr>
                <w:sz w:val="16"/>
              </w:rPr>
              <w:t>0.976</w:t>
            </w:r>
          </w:p>
        </w:tc>
        <w:tc>
          <w:tcPr>
            <w:tcW w:type="dxa" w:w="1072"/>
          </w:tcPr>
          <w:p>
            <w:pPr>
              <w:jc w:val="center"/>
            </w:pPr>
            <w:r>
              <w:rPr>
                <w:sz w:val="16"/>
              </w:rPr>
              <w:t>0.746</w:t>
            </w:r>
          </w:p>
        </w:tc>
        <w:tc>
          <w:tcPr>
            <w:tcW w:type="dxa" w:w="1072"/>
          </w:tcPr>
          <w:p>
            <w:pPr>
              <w:jc w:val="center"/>
            </w:pPr>
            <w:r>
              <w:rPr>
                <w:sz w:val="16"/>
              </w:rPr>
              <w:t>0.914</w:t>
            </w:r>
          </w:p>
        </w:tc>
        <w:tc>
          <w:tcPr>
            <w:tcW w:type="dxa" w:w="1072"/>
          </w:tcPr>
          <w:p>
            <w:pPr>
              <w:jc w:val="center"/>
            </w:pPr>
            <w:r>
              <w:rPr>
                <w:sz w:val="16"/>
              </w:rPr>
              <w:t>0.612</w:t>
            </w:r>
          </w:p>
        </w:tc>
        <w:tc>
          <w:tcPr>
            <w:tcW w:type="dxa" w:w="1072"/>
          </w:tcPr>
          <w:p>
            <w:pPr>
              <w:jc w:val="center"/>
            </w:pPr>
            <w:r>
              <w:rPr>
                <w:sz w:val="16"/>
              </w:rPr>
              <w:t>0.733</w:t>
            </w:r>
          </w:p>
        </w:tc>
        <w:tc>
          <w:tcPr>
            <w:tcW w:type="dxa" w:w="1072"/>
          </w:tcPr>
          <w:p>
            <w:pPr>
              <w:jc w:val="center"/>
            </w:pPr>
            <w:r>
              <w:rPr>
                <w:sz w:val="16"/>
              </w:rPr>
              <w:t>0.656</w:t>
            </w:r>
          </w:p>
        </w:tc>
        <w:tc>
          <w:tcPr>
            <w:tcW w:type="dxa" w:w="1072"/>
          </w:tcPr>
          <w:p>
            <w:pPr>
              <w:jc w:val="center"/>
            </w:pPr>
            <w:r>
              <w:rPr>
                <w:sz w:val="16"/>
              </w:rPr>
              <w:t>0.546</w:t>
            </w:r>
          </w:p>
        </w:tc>
        <w:tc>
          <w:tcPr>
            <w:tcW w:type="dxa" w:w="1072"/>
          </w:tcPr>
          <w:p>
            <w:pPr>
              <w:jc w:val="center"/>
            </w:pPr>
            <w:r>
              <w:rPr>
                <w:sz w:val="16"/>
              </w:rPr>
              <w:t>0.783</w:t>
            </w:r>
          </w:p>
        </w:tc>
      </w:tr>
      <w:tr>
        <w:tc>
          <w:tcPr>
            <w:tcW w:type="dxa" w:w="1072"/>
            <w:shd w:val="clear" w:color="auto" w:fill="F4F4F4"/>
          </w:tcPr>
          <w:p>
            <w:pPr>
              <w:jc w:val="left"/>
            </w:pPr>
            <w:r>
              <w:rPr>
                <w:sz w:val="16"/>
              </w:rPr>
              <w:t>Gaussian NB</w:t>
            </w:r>
          </w:p>
        </w:tc>
        <w:tc>
          <w:tcPr>
            <w:tcW w:type="dxa" w:w="1072"/>
            <w:shd w:val="clear" w:color="auto" w:fill="F4F4F4"/>
          </w:tcPr>
          <w:p>
            <w:pPr>
              <w:jc w:val="center"/>
            </w:pPr>
            <w:r>
              <w:rPr>
                <w:sz w:val="16"/>
              </w:rPr>
              <w:t>0.844</w:t>
            </w:r>
          </w:p>
        </w:tc>
        <w:tc>
          <w:tcPr>
            <w:tcW w:type="dxa" w:w="1072"/>
            <w:shd w:val="clear" w:color="auto" w:fill="F4F4F4"/>
          </w:tcPr>
          <w:p>
            <w:pPr>
              <w:jc w:val="center"/>
            </w:pPr>
            <w:r>
              <w:rPr>
                <w:sz w:val="16"/>
              </w:rPr>
              <w:t>0.557</w:t>
            </w:r>
          </w:p>
        </w:tc>
        <w:tc>
          <w:tcPr>
            <w:tcW w:type="dxa" w:w="1072"/>
            <w:shd w:val="clear" w:color="auto" w:fill="F4F4F4"/>
          </w:tcPr>
          <w:p>
            <w:pPr>
              <w:jc w:val="center"/>
            </w:pPr>
            <w:r>
              <w:rPr>
                <w:sz w:val="16"/>
              </w:rPr>
              <w:t>0.981</w:t>
            </w:r>
          </w:p>
        </w:tc>
        <w:tc>
          <w:tcPr>
            <w:tcW w:type="dxa" w:w="1072"/>
            <w:shd w:val="clear" w:color="auto" w:fill="F4F4F4"/>
          </w:tcPr>
          <w:p>
            <w:pPr>
              <w:jc w:val="center"/>
            </w:pPr>
            <w:r>
              <w:rPr>
                <w:sz w:val="16"/>
              </w:rPr>
              <w:t>0.226</w:t>
            </w:r>
          </w:p>
        </w:tc>
        <w:tc>
          <w:tcPr>
            <w:tcW w:type="dxa" w:w="1072"/>
            <w:shd w:val="clear" w:color="auto" w:fill="F4F4F4"/>
          </w:tcPr>
          <w:p>
            <w:pPr>
              <w:jc w:val="center"/>
            </w:pPr>
            <w:r>
              <w:rPr>
                <w:sz w:val="16"/>
              </w:rPr>
              <w:t>0.368</w:t>
            </w:r>
          </w:p>
        </w:tc>
        <w:tc>
          <w:tcPr>
            <w:tcW w:type="dxa" w:w="1072"/>
            <w:shd w:val="clear" w:color="auto" w:fill="F4F4F4"/>
          </w:tcPr>
          <w:p>
            <w:pPr>
              <w:jc w:val="center"/>
            </w:pPr>
            <w:r>
              <w:rPr>
                <w:sz w:val="16"/>
              </w:rPr>
              <w:t>0.267</w:t>
            </w:r>
          </w:p>
        </w:tc>
        <w:tc>
          <w:tcPr>
            <w:tcW w:type="dxa" w:w="1072"/>
            <w:shd w:val="clear" w:color="auto" w:fill="F4F4F4"/>
          </w:tcPr>
          <w:p>
            <w:pPr>
              <w:jc w:val="center"/>
            </w:pPr>
            <w:r>
              <w:rPr>
                <w:sz w:val="16"/>
              </w:rPr>
              <w:t>0.324</w:t>
            </w:r>
          </w:p>
        </w:tc>
        <w:tc>
          <w:tcPr>
            <w:tcW w:type="dxa" w:w="1072"/>
            <w:shd w:val="clear" w:color="auto" w:fill="F4F4F4"/>
          </w:tcPr>
          <w:p>
            <w:pPr>
              <w:jc w:val="center"/>
            </w:pPr>
            <w:r>
              <w:rPr>
                <w:sz w:val="16"/>
              </w:rPr>
              <w:t>0.801</w:t>
            </w:r>
          </w:p>
        </w:tc>
      </w:tr>
    </w:tbl>
    <w:p>
      <w:pPr>
        <w:jc w:val="center"/>
      </w:pPr>
      <w:r>
        <w:rPr>
          <w:i/>
          <w:color w:val="555555"/>
          <w:sz w:val="18"/>
        </w:rPr>
        <w:t>Table 1. Performance under both protocols, sorted by test-set MCC.</w:t>
      </w:r>
    </w:p>
    <w:p>
      <w:pPr>
        <w:spacing w:after="140"/>
        <w:jc w:val="both"/>
      </w:pPr>
      <w:r>
        <w:rPr>
          <w:rFonts w:ascii="Times New Roman" w:hAnsi="Times New Roman"/>
          <w:b w:val="0"/>
          <w:i w:val="0"/>
          <w:color w:val="1A1A1A"/>
          <w:sz w:val="22"/>
        </w:rPr>
        <w:t>The CV-accuracy column reproduces the source's near-perfect numbers; the test-accuracy and MCC columns show what survives on unseen attacks. The ranking is stable (tree ensembles lead), but the absolute performance is far lower than the headline. The separability curves for the best model are shown in Figure 6.</w:t>
      </w:r>
    </w:p>
    <w:p>
      <w:pPr>
        <w:jc w:val="center"/>
      </w:pPr>
      <w:r>
        <w:drawing>
          <wp:inline xmlns:a="http://schemas.openxmlformats.org/drawingml/2006/main" xmlns:pic="http://schemas.openxmlformats.org/drawingml/2006/picture">
            <wp:extent cx="5220000" cy="2233433"/>
            <wp:docPr id="6" name="Picture 6"/>
            <wp:cNvGraphicFramePr>
              <a:graphicFrameLocks noChangeAspect="1"/>
            </wp:cNvGraphicFramePr>
            <a:graphic>
              <a:graphicData uri="http://schemas.openxmlformats.org/drawingml/2006/picture">
                <pic:pic>
                  <pic:nvPicPr>
                    <pic:cNvPr id="0" name="roc_pr.png"/>
                    <pic:cNvPicPr/>
                  </pic:nvPicPr>
                  <pic:blipFill>
                    <a:blip r:embed="rId14"/>
                    <a:stretch>
                      <a:fillRect/>
                    </a:stretch>
                  </pic:blipFill>
                  <pic:spPr>
                    <a:xfrm>
                      <a:off x="0" y="0"/>
                      <a:ext cx="5220000" cy="2233433"/>
                    </a:xfrm>
                    <a:prstGeom prst="rect"/>
                  </pic:spPr>
                </pic:pic>
              </a:graphicData>
            </a:graphic>
          </wp:inline>
        </w:drawing>
      </w:r>
    </w:p>
    <w:p>
      <w:pPr>
        <w:spacing w:after="240"/>
        <w:jc w:val="center"/>
      </w:pPr>
      <w:r>
        <w:rPr>
          <w:i/>
          <w:color w:val="555555"/>
          <w:sz w:val="18"/>
        </w:rPr>
        <w:t>Figure 6. ROC (left) and Precision-Recall (right) for the best model on the official test set. Useful ranking ability remains, but well short of the near-perfect impression accuracy gives.</w:t>
      </w:r>
    </w:p>
    <w:p>
      <w:pPr>
        <w:spacing w:before="240" w:after="80"/>
        <w:pBdr>
          <w:bottom w:val="single" w:sz="6" w:space="2" w:color="999999"/>
        </w:pBdr>
      </w:pPr>
      <w:r>
        <w:rPr>
          <w:rFonts w:ascii="Times New Roman" w:hAnsi="Times New Roman"/>
          <w:b/>
          <w:color w:val="1A1A1A"/>
          <w:sz w:val="30"/>
        </w:rPr>
        <w:t>6. Error Analysis</w:t>
      </w:r>
    </w:p>
    <w:p>
      <w:pPr>
        <w:spacing w:after="140"/>
        <w:jc w:val="both"/>
      </w:pPr>
      <w:r>
        <w:rPr>
          <w:rFonts w:ascii="Times New Roman" w:hAnsi="Times New Roman"/>
          <w:b w:val="0"/>
          <w:i w:val="0"/>
          <w:color w:val="1A1A1A"/>
          <w:sz w:val="22"/>
        </w:rPr>
        <w:t>On the official test set the best model produces 4,355 false negatives (missed attacks, 33.9% of all attacks) and 273 false positives (false alarms). The confusion matrix is shown in Figure 7.</w:t>
      </w:r>
    </w:p>
    <w:p>
      <w:pPr>
        <w:jc w:val="center"/>
      </w:pPr>
      <w:r>
        <w:drawing>
          <wp:inline xmlns:a="http://schemas.openxmlformats.org/drawingml/2006/main" xmlns:pic="http://schemas.openxmlformats.org/drawingml/2006/picture">
            <wp:extent cx="3240000" cy="3028695"/>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3240000" cy="3028695"/>
                    </a:xfrm>
                    <a:prstGeom prst="rect"/>
                  </pic:spPr>
                </pic:pic>
              </a:graphicData>
            </a:graphic>
          </wp:inline>
        </w:drawing>
      </w:r>
    </w:p>
    <w:p>
      <w:pPr>
        <w:spacing w:after="240"/>
        <w:jc w:val="center"/>
      </w:pPr>
      <w:r>
        <w:rPr>
          <w:i/>
          <w:color w:val="555555"/>
          <w:sz w:val="18"/>
        </w:rPr>
        <w:t>Figure 7. Confusion matrix for the best model (XGBoost) on the official test set. The off-diagonal cells are the operationally important errors analysed below.</w:t>
      </w:r>
    </w:p>
    <w:p>
      <w:pPr>
        <w:pStyle w:val="ListBullet"/>
        <w:spacing w:after="60"/>
      </w:pPr>
      <w:r>
        <w:rPr>
          <w:rFonts w:ascii="Times New Roman" w:hAnsi="Times New Roman"/>
          <w:b/>
          <w:i w:val="0"/>
          <w:color w:val="1A1A1A"/>
          <w:sz w:val="22"/>
        </w:rPr>
        <w:t>False negatives</w:t>
      </w:r>
      <w:r>
        <w:rPr>
          <w:rFonts w:ascii="Times New Roman" w:hAnsi="Times New Roman"/>
          <w:b w:val="0"/>
          <w:i w:val="0"/>
          <w:color w:val="1A1A1A"/>
          <w:sz w:val="22"/>
        </w:rPr>
        <w:t xml:space="preserve"> are dominated by R2L/U2R and novel signatures — attacks that look like normal sessions at the packet-statistic level (a single login, a brief privileged shell) and fall on the benign side of a boundary learned from frequent, noisy attacks. Each is an undetected breach.</w:t>
      </w:r>
    </w:p>
    <w:p>
      <w:pPr>
        <w:pStyle w:val="ListBullet"/>
        <w:spacing w:after="60"/>
      </w:pPr>
      <w:r>
        <w:rPr>
          <w:rFonts w:ascii="Times New Roman" w:hAnsi="Times New Roman"/>
          <w:b/>
          <w:i w:val="0"/>
          <w:color w:val="1A1A1A"/>
          <w:sz w:val="22"/>
        </w:rPr>
        <w:t>False positives</w:t>
      </w:r>
      <w:r>
        <w:rPr>
          <w:rFonts w:ascii="Times New Roman" w:hAnsi="Times New Roman"/>
          <w:b w:val="0"/>
          <w:i w:val="0"/>
          <w:color w:val="1A1A1A"/>
          <w:sz w:val="22"/>
        </w:rPr>
        <w:t xml:space="preserve"> are unusual but legitimate sessions (bulk transfers, rare services); each costs analyst time.</w:t>
      </w:r>
    </w:p>
    <w:p>
      <w:pPr>
        <w:spacing w:after="140"/>
        <w:jc w:val="both"/>
      </w:pPr>
      <w:r>
        <w:rPr>
          <w:rFonts w:ascii="Times New Roman" w:hAnsi="Times New Roman"/>
          <w:b/>
          <w:i w:val="0"/>
          <w:color w:val="1A1A1A"/>
          <w:sz w:val="22"/>
        </w:rPr>
        <w:t>The trade-off.</w:t>
      </w:r>
      <w:r>
        <w:rPr>
          <w:rFonts w:ascii="Times New Roman" w:hAnsi="Times New Roman"/>
          <w:b w:val="0"/>
          <w:i w:val="0"/>
          <w:color w:val="1A1A1A"/>
          <w:sz w:val="22"/>
        </w:rPr>
        <w:t xml:space="preserve"> Because a false negative is a successful intrusion and a false positive is triage time, costs are asymmetric toward recall. That is why we report F2 and MCC and why a deployment would lower the decision threshold and place this model behind correlation rules rather than trusting a fixed 0.5 cut-off. The source optimises and reports neither.</w:t>
      </w:r>
    </w:p>
    <w:p>
      <w:pPr>
        <w:spacing w:before="240" w:after="80"/>
        <w:pBdr>
          <w:bottom w:val="single" w:sz="6" w:space="2" w:color="999999"/>
        </w:pBdr>
      </w:pPr>
      <w:r>
        <w:rPr>
          <w:rFonts w:ascii="Times New Roman" w:hAnsi="Times New Roman"/>
          <w:b/>
          <w:color w:val="1A1A1A"/>
          <w:sz w:val="30"/>
        </w:rPr>
        <w:t>7. Conclusions</w:t>
      </w:r>
    </w:p>
    <w:p>
      <w:pPr>
        <w:spacing w:before="160" w:after="40"/>
      </w:pPr>
      <w:r>
        <w:rPr>
          <w:rFonts w:ascii="Times New Roman" w:hAnsi="Times New Roman"/>
          <w:b/>
          <w:color w:val="1A1A1A"/>
          <w:sz w:val="24"/>
        </w:rPr>
        <w:t>Key findings and lessons</w:t>
      </w:r>
    </w:p>
    <w:p>
      <w:pPr>
        <w:pStyle w:val="ListBullet"/>
        <w:spacing w:after="60"/>
      </w:pPr>
      <w:r>
        <w:rPr>
          <w:rFonts w:ascii="Times New Roman" w:hAnsi="Times New Roman"/>
          <w:b w:val="0"/>
          <w:i w:val="0"/>
          <w:color w:val="1A1A1A"/>
          <w:sz w:val="22"/>
        </w:rPr>
        <w:t>The ~99.8% accuracy is reproducible but is an artefact of same-distribution evaluation; on the official protocol the same models lose ~20 points and miss most novel and rare attacks.</w:t>
      </w:r>
    </w:p>
    <w:p>
      <w:pPr>
        <w:pStyle w:val="ListBullet"/>
        <w:spacing w:after="60"/>
      </w:pPr>
      <w:r>
        <w:rPr>
          <w:rFonts w:ascii="Times New Roman" w:hAnsi="Times New Roman"/>
          <w:b w:val="0"/>
          <w:i w:val="0"/>
          <w:color w:val="1A1A1A"/>
          <w:sz w:val="22"/>
        </w:rPr>
        <w:t>For intrusion detection the evaluation protocol matters more than the model: accuracy must give way to MCC, per-class recall and an explicit novel-attack test.</w:t>
      </w:r>
    </w:p>
    <w:p>
      <w:pPr>
        <w:pStyle w:val="ListBullet"/>
        <w:spacing w:after="60"/>
      </w:pPr>
      <w:r>
        <w:rPr>
          <w:rFonts w:ascii="Times New Roman" w:hAnsi="Times New Roman"/>
          <w:b w:val="0"/>
          <w:i w:val="0"/>
          <w:color w:val="1A1A1A"/>
          <w:sz w:val="22"/>
        </w:rPr>
        <w:t>Always audit features for leakage (difficulty) and dead inputs (num_outbound_cmds), and align categorical encodings across train and test.</w:t>
      </w:r>
    </w:p>
    <w:p>
      <w:pPr>
        <w:spacing w:before="160" w:after="40"/>
      </w:pPr>
      <w:r>
        <w:rPr>
          <w:rFonts w:ascii="Times New Roman" w:hAnsi="Times New Roman"/>
          <w:b/>
          <w:color w:val="1A1A1A"/>
          <w:sz w:val="24"/>
        </w:rPr>
        <w:t>Strengths and weaknesses of the source</w:t>
      </w:r>
    </w:p>
    <w:p>
      <w:pPr>
        <w:pStyle w:val="ListBullet"/>
        <w:spacing w:after="60"/>
      </w:pPr>
      <w:r>
        <w:rPr>
          <w:rFonts w:ascii="Times New Roman" w:hAnsi="Times New Roman"/>
          <w:b/>
          <w:i w:val="0"/>
          <w:color w:val="1A1A1A"/>
          <w:sz w:val="22"/>
        </w:rPr>
        <w:t>Strengths:</w:t>
      </w:r>
      <w:r>
        <w:rPr>
          <w:rFonts w:ascii="Times New Roman" w:hAnsi="Times New Roman"/>
          <w:b w:val="0"/>
          <w:i w:val="0"/>
          <w:color w:val="1A1A1A"/>
          <w:sz w:val="22"/>
        </w:rPr>
        <w:t xml:space="preserve"> clear scope, runnable code, a sensible attack-category split, and a correct 'Random Forest is best' ordering.</w:t>
      </w:r>
    </w:p>
    <w:p>
      <w:pPr>
        <w:pStyle w:val="ListBullet"/>
        <w:spacing w:after="60"/>
      </w:pPr>
      <w:r>
        <w:rPr>
          <w:rFonts w:ascii="Times New Roman" w:hAnsi="Times New Roman"/>
          <w:b/>
          <w:i w:val="0"/>
          <w:color w:val="1A1A1A"/>
          <w:sz w:val="22"/>
        </w:rPr>
        <w:t>Weaknesses:</w:t>
      </w:r>
      <w:r>
        <w:rPr>
          <w:rFonts w:ascii="Times New Roman" w:hAnsi="Times New Roman"/>
          <w:b w:val="0"/>
          <w:i w:val="0"/>
          <w:color w:val="1A1A1A"/>
          <w:sz w:val="22"/>
        </w:rPr>
        <w:t xml:space="preserve"> same-distribution evaluation, a constant feature, no encoding alignment, accuracy-only reporting, no rare-class or novel-attack analysis, and a 25-year-old dataset.</w:t>
      </w:r>
    </w:p>
    <w:p>
      <w:pPr>
        <w:spacing w:before="160" w:after="40"/>
      </w:pPr>
      <w:r>
        <w:rPr>
          <w:rFonts w:ascii="Times New Roman" w:hAnsi="Times New Roman"/>
          <w:b/>
          <w:color w:val="1A1A1A"/>
          <w:sz w:val="24"/>
        </w:rPr>
        <w:t>Suggestions for future improvement</w:t>
      </w:r>
    </w:p>
    <w:p>
      <w:pPr>
        <w:pStyle w:val="ListBullet"/>
        <w:spacing w:after="60"/>
      </w:pPr>
      <w:r>
        <w:rPr>
          <w:rFonts w:ascii="Times New Roman" w:hAnsi="Times New Roman"/>
          <w:b w:val="0"/>
          <w:i w:val="0"/>
          <w:color w:val="1A1A1A"/>
          <w:sz w:val="22"/>
        </w:rPr>
        <w:t>Report on KDDTest+ (or a time-based split) and lead with MCC and PR-AUC.</w:t>
      </w:r>
    </w:p>
    <w:p>
      <w:pPr>
        <w:pStyle w:val="ListBullet"/>
        <w:spacing w:after="60"/>
      </w:pPr>
      <w:r>
        <w:rPr>
          <w:rFonts w:ascii="Times New Roman" w:hAnsi="Times New Roman"/>
          <w:b w:val="0"/>
          <w:i w:val="0"/>
          <w:color w:val="1A1A1A"/>
          <w:sz w:val="22"/>
        </w:rPr>
        <w:t>Use cost-sensitive learning or resampling to lift R2L/U2R recall.</w:t>
      </w:r>
    </w:p>
    <w:p>
      <w:pPr>
        <w:pStyle w:val="ListBullet"/>
        <w:spacing w:after="60"/>
      </w:pPr>
      <w:r>
        <w:rPr>
          <w:rFonts w:ascii="Times New Roman" w:hAnsi="Times New Roman"/>
          <w:b w:val="0"/>
          <w:i w:val="0"/>
          <w:color w:val="1A1A1A"/>
          <w:sz w:val="22"/>
        </w:rPr>
        <w:t>Validate on a modern dataset (CIC-IDS2017, UNSW-NB15) before any deployment claim.</w:t>
      </w:r>
    </w:p>
    <w:p>
      <w:pPr>
        <w:pStyle w:val="ListBullet"/>
        <w:spacing w:after="60"/>
      </w:pPr>
      <w:r>
        <w:rPr>
          <w:rFonts w:ascii="Times New Roman" w:hAnsi="Times New Roman"/>
          <w:b w:val="0"/>
          <w:i w:val="0"/>
          <w:color w:val="1A1A1A"/>
          <w:sz w:val="22"/>
        </w:rPr>
        <w:t>Tune the decision threshold to the recall-heavy cost model of intrusion detection.</w:t>
      </w:r>
    </w:p>
    <w:p>
      <w:pPr>
        <w:spacing w:before="240" w:after="80"/>
        <w:pBdr>
          <w:bottom w:val="single" w:sz="6" w:space="2" w:color="999999"/>
        </w:pBdr>
      </w:pPr>
      <w:r>
        <w:rPr>
          <w:rFonts w:ascii="Times New Roman" w:hAnsi="Times New Roman"/>
          <w:b/>
          <w:color w:val="1A1A1A"/>
          <w:sz w:val="30"/>
        </w:rPr>
        <w:t>8. Summing It Up</w:t>
      </w:r>
    </w:p>
    <w:p>
      <w:pPr>
        <w:spacing w:after="140"/>
        <w:jc w:val="both"/>
      </w:pPr>
      <w:r>
        <w:rPr>
          <w:rFonts w:ascii="Times New Roman" w:hAnsi="Times New Roman"/>
          <w:b/>
          <w:i w:val="0"/>
          <w:color w:val="1A1A1A"/>
          <w:sz w:val="22"/>
        </w:rPr>
        <w:t>Problem:</w:t>
      </w:r>
      <w:r>
        <w:rPr>
          <w:rFonts w:ascii="Times New Roman" w:hAnsi="Times New Roman"/>
          <w:b w:val="0"/>
          <w:i w:val="0"/>
          <w:color w:val="1A1A1A"/>
          <w:sz w:val="22"/>
        </w:rPr>
        <w:t xml:space="preserve"> detect malicious network connections among benign traffic. </w:t>
      </w:r>
      <w:r>
        <w:rPr>
          <w:rFonts w:ascii="Times New Roman" w:hAnsi="Times New Roman"/>
          <w:b/>
          <w:i w:val="0"/>
          <w:color w:val="1A1A1A"/>
          <w:sz w:val="22"/>
        </w:rPr>
        <w:t>Source:</w:t>
      </w:r>
      <w:r>
        <w:rPr>
          <w:rFonts w:ascii="Times New Roman" w:hAnsi="Times New Roman"/>
          <w:b w:val="0"/>
          <w:i w:val="0"/>
          <w:color w:val="1A1A1A"/>
          <w:sz w:val="22"/>
        </w:rPr>
        <w:t xml:space="preserve"> the Mamcose NSL-KDD intrusion-detection tutorial. </w:t>
      </w:r>
      <w:r>
        <w:rPr>
          <w:rFonts w:ascii="Times New Roman" w:hAnsi="Times New Roman"/>
          <w:b/>
          <w:i w:val="0"/>
          <w:color w:val="1A1A1A"/>
          <w:sz w:val="22"/>
        </w:rPr>
        <w:t>Dataset:</w:t>
      </w:r>
      <w:r>
        <w:rPr>
          <w:rFonts w:ascii="Times New Roman" w:hAnsi="Times New Roman"/>
          <w:b w:val="0"/>
          <w:i w:val="0"/>
          <w:color w:val="1A1A1A"/>
          <w:sz w:val="22"/>
        </w:rPr>
        <w:t xml:space="preserve"> NSL-KDD, 125,973 train and 22,544 test records, 41 features. </w:t>
      </w:r>
      <w:r>
        <w:rPr>
          <w:rFonts w:ascii="Times New Roman" w:hAnsi="Times New Roman"/>
          <w:b/>
          <w:i w:val="0"/>
          <w:color w:val="1A1A1A"/>
          <w:sz w:val="22"/>
        </w:rPr>
        <w:t>Our study:</w:t>
      </w:r>
      <w:r>
        <w:rPr>
          <w:rFonts w:ascii="Times New Roman" w:hAnsi="Times New Roman"/>
          <w:b w:val="0"/>
          <w:i w:val="0"/>
          <w:color w:val="1A1A1A"/>
          <w:sz w:val="22"/>
        </w:rPr>
        <w:t xml:space="preserve"> faithful reproduction plus a critical battery — a two-protocol comparison (same-distribution CV vs official KDDTest+), per-family and novel-attack recall, a dead-feature and encoding-alignment audit, and a full prevalence-robust metric suite.</w:t>
      </w:r>
    </w:p>
    <w:p>
      <w:pPr>
        <w:spacing w:after="140"/>
        <w:jc w:val="both"/>
      </w:pPr>
      <w:r>
        <w:rPr>
          <w:rFonts w:ascii="Times New Roman" w:hAnsi="Times New Roman"/>
          <w:b/>
          <w:i w:val="0"/>
          <w:color w:val="1A1A1A"/>
          <w:sz w:val="22"/>
        </w:rPr>
        <w:t>Main findings:</w:t>
      </w:r>
      <w:r>
        <w:rPr>
          <w:rFonts w:ascii="Times New Roman" w:hAnsi="Times New Roman"/>
          <w:b w:val="0"/>
          <w:i w:val="0"/>
          <w:color w:val="1A1A1A"/>
          <w:sz w:val="22"/>
        </w:rPr>
        <w:t xml:space="preserve"> the ~99.8% accuracy reproduces under cross-validation but falls to 79.5% (MCC 0.6427) on the official test set, with R2L/U2R and novel attacks largely missed. </w:t>
      </w:r>
      <w:r>
        <w:rPr>
          <w:rFonts w:ascii="Times New Roman" w:hAnsi="Times New Roman"/>
          <w:b/>
          <w:i w:val="0"/>
          <w:color w:val="1A1A1A"/>
          <w:sz w:val="22"/>
        </w:rPr>
        <w:t>Were the claims supported?</w:t>
      </w:r>
      <w:r>
        <w:rPr>
          <w:rFonts w:ascii="Times New Roman" w:hAnsi="Times New Roman"/>
          <w:b w:val="0"/>
          <w:i w:val="0"/>
          <w:color w:val="1A1A1A"/>
          <w:sz w:val="22"/>
        </w:rPr>
        <w:t xml:space="preserve"> The narrow 'Random Forest is best' claim, yes; the broad 'near-perfect intrusion detection' claim, no. </w:t>
      </w:r>
      <w:r>
        <w:rPr>
          <w:rFonts w:ascii="Times New Roman" w:hAnsi="Times New Roman"/>
          <w:b/>
          <w:i w:val="0"/>
          <w:color w:val="1A1A1A"/>
          <w:sz w:val="22"/>
        </w:rPr>
        <w:t>Most important insight:</w:t>
      </w:r>
      <w:r>
        <w:rPr>
          <w:rFonts w:ascii="Times New Roman" w:hAnsi="Times New Roman"/>
          <w:b w:val="0"/>
          <w:i w:val="0"/>
          <w:color w:val="1A1A1A"/>
          <w:sz w:val="22"/>
        </w:rPr>
        <w:t xml:space="preserve"> on this benchmark the evaluation protocol, not the algorithm, determines the result. </w:t>
      </w:r>
      <w:r>
        <w:rPr>
          <w:rFonts w:ascii="Times New Roman" w:hAnsi="Times New Roman"/>
          <w:b/>
          <w:i w:val="0"/>
          <w:color w:val="1A1A1A"/>
          <w:sz w:val="22"/>
        </w:rPr>
        <w:t>Recommendation:</w:t>
      </w:r>
      <w:r>
        <w:rPr>
          <w:rFonts w:ascii="Times New Roman" w:hAnsi="Times New Roman"/>
          <w:b w:val="0"/>
          <w:i w:val="0"/>
          <w:color w:val="1A1A1A"/>
          <w:sz w:val="22"/>
        </w:rPr>
        <w:t xml:space="preserve"> useful as a teaching pipeline, but we would not recommend citing its accuracy or deploying it without the corrections above. </w:t>
      </w:r>
      <w:r>
        <w:rPr>
          <w:rFonts w:ascii="Times New Roman" w:hAnsi="Times New Roman"/>
          <w:b/>
          <w:i w:val="0"/>
          <w:color w:val="1A1A1A"/>
          <w:sz w:val="22"/>
        </w:rPr>
        <w:t>Final conclusion:</w:t>
      </w:r>
      <w:r>
        <w:rPr>
          <w:rFonts w:ascii="Times New Roman" w:hAnsi="Times New Roman"/>
          <w:b w:val="0"/>
          <w:i w:val="0"/>
          <w:color w:val="1A1A1A"/>
          <w:sz w:val="22"/>
        </w:rPr>
        <w:t xml:space="preserve"> a methodologically instructive project whose central performance claim is not supported once a realistic evaluation is applied.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