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Cohort Metadata and Demographics</w:t>
      </w:r>
    </w:p>
    <w:p>
      <w:r>
        <w:t>The study cohort was assembled from seven independent immune repertoire datasets retrieved via the iReceptor Gateway: CD1 (Covid19_db3, n=51), CD2 (covid_db2, n=19), CD3 (covid19, n=13), CVX1 (vaccine2, n=12), CVX2 (covid_vaccine_new, n=5), HC1 (lp16_Igblast), and GT1 (sykesIgblast2020). After excluding control samples (covid_vaccine_new-Fb, Water) and non-human subjects (lp16_Igblast-D159, D154, Hu-1), and removing healthy subjects from the CD3 study (H3, H4, H8), the final analysis included 103 subjects with peripheral blood data.</w:t>
      </w:r>
    </w:p>
    <w:p>
      <w:pPr>
        <w:pStyle w:val="Heading3"/>
      </w:pPr>
      <w:r>
        <w:t>1.1 Metadata Availability per Dataset</w:t>
      </w:r>
    </w:p>
    <w:p>
      <w:r>
        <w:t>Figure 1 summarizes the metadata fields available across datasets. All datasets provided disease stage and tissue information. Sex metadata was available for all datasets except CD3 and HC1. Age data was available for CD1, CD2, CVX1, and CVX2.</w:t>
      </w:r>
    </w:p>
    <w:p>
      <w:pPr>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00_metadata_per_dataset.png"/>
                    <pic:cNvPicPr/>
                  </pic:nvPicPr>
                  <pic:blipFill>
                    <a:blip r:embed="rId9"/>
                    <a:stretch>
                      <a:fillRect/>
                    </a:stretch>
                  </pic:blipFill>
                  <pic:spPr>
                    <a:xfrm>
                      <a:off x="0" y="0"/>
                      <a:ext cx="5943600" cy="3820886"/>
                    </a:xfrm>
                    <a:prstGeom prst="rect"/>
                  </pic:spPr>
                </pic:pic>
              </a:graphicData>
            </a:graphic>
          </wp:inline>
        </w:drawing>
      </w:r>
    </w:p>
    <w:p>
      <w:pPr>
        <w:jc w:val="center"/>
      </w:pPr>
      <w:r>
        <w:rPr>
          <w:i/>
          <w:sz w:val="20"/>
        </w:rPr>
        <w:t>Figure 1. Metadata availability per dataset. Bar heights indicate the number of subjects with each metadata type available.</w:t>
      </w:r>
    </w:p>
    <w:p/>
    <w:p>
      <w:pPr>
        <w:pStyle w:val="Heading3"/>
      </w:pPr>
      <w:r>
        <w:t>1.2 Subjects per Dataset</w:t>
      </w:r>
    </w:p>
    <w:p>
      <w:r>
        <w:t>Figure 2 shows the number of subjects contributed by each dataset. CD1 was the largest contributor (51 subjects), followed by CD2 (19) and CD3 (13).</w:t>
      </w:r>
    </w:p>
    <w:p>
      <w:pPr>
        <w:jc w:val="center"/>
      </w:pPr>
      <w:r>
        <w:drawing>
          <wp:inline xmlns:a="http://schemas.openxmlformats.org/drawingml/2006/main" xmlns:pic="http://schemas.openxmlformats.org/drawingml/2006/picture">
            <wp:extent cx="5943600" cy="3467100"/>
            <wp:docPr id="2" name="Picture 2"/>
            <wp:cNvGraphicFramePr>
              <a:graphicFrameLocks noChangeAspect="1"/>
            </wp:cNvGraphicFramePr>
            <a:graphic>
              <a:graphicData uri="http://schemas.openxmlformats.org/drawingml/2006/picture">
                <pic:pic>
                  <pic:nvPicPr>
                    <pic:cNvPr id="0" name="01_subjects_per_dataset.png"/>
                    <pic:cNvPicPr/>
                  </pic:nvPicPr>
                  <pic:blipFill>
                    <a:blip r:embed="rId10"/>
                    <a:stretch>
                      <a:fillRect/>
                    </a:stretch>
                  </pic:blipFill>
                  <pic:spPr>
                    <a:xfrm>
                      <a:off x="0" y="0"/>
                      <a:ext cx="5943600" cy="3467100"/>
                    </a:xfrm>
                    <a:prstGeom prst="rect"/>
                  </pic:spPr>
                </pic:pic>
              </a:graphicData>
            </a:graphic>
          </wp:inline>
        </w:drawing>
      </w:r>
    </w:p>
    <w:p>
      <w:pPr>
        <w:jc w:val="center"/>
      </w:pPr>
      <w:r>
        <w:rPr>
          <w:i/>
          <w:sz w:val="20"/>
        </w:rPr>
        <w:t>Figure 2. Number of subjects per dataset.</w:t>
      </w:r>
    </w:p>
    <w:p/>
    <w:p>
      <w:pPr>
        <w:pStyle w:val="Heading3"/>
      </w:pPr>
      <w:r>
        <w:t>1.3 Disease Category Distribution</w:t>
      </w:r>
    </w:p>
    <w:p>
      <w:r>
        <w:t>Disease labels from individual studies were harmonized into six categories: Severe (n=27), Mild (n=41), Moderate (n=9), Recovered (n=12), COVID Naive (n=8), and Healthy (n=6). The Mild category was the most represented, combining subjects labeled as "mild" (CD1) and "non-severe" (CD3). The Severe category included subjects with "severe" (CD1, CD3) and "Early phase hypoxaemia" (CD2) labels. The Moderate category comprised CD2 subjects with "Early phase-Stable" or "Early phase-Improving" labels.</w:t>
      </w:r>
    </w:p>
    <w:p>
      <w:pPr>
        <w:jc w:val="center"/>
      </w:pPr>
      <w:r>
        <w:drawing>
          <wp:inline xmlns:a="http://schemas.openxmlformats.org/drawingml/2006/main" xmlns:pic="http://schemas.openxmlformats.org/drawingml/2006/picture">
            <wp:extent cx="5943600" cy="3782291"/>
            <wp:docPr id="3" name="Picture 3"/>
            <wp:cNvGraphicFramePr>
              <a:graphicFrameLocks noChangeAspect="1"/>
            </wp:cNvGraphicFramePr>
            <a:graphic>
              <a:graphicData uri="http://schemas.openxmlformats.org/drawingml/2006/picture">
                <pic:pic>
                  <pic:nvPicPr>
                    <pic:cNvPr id="0" name="02a_subjects_per_disease_category.png"/>
                    <pic:cNvPicPr/>
                  </pic:nvPicPr>
                  <pic:blipFill>
                    <a:blip r:embed="rId11"/>
                    <a:stretch>
                      <a:fillRect/>
                    </a:stretch>
                  </pic:blipFill>
                  <pic:spPr>
                    <a:xfrm>
                      <a:off x="0" y="0"/>
                      <a:ext cx="5943600" cy="3782291"/>
                    </a:xfrm>
                    <a:prstGeom prst="rect"/>
                  </pic:spPr>
                </pic:pic>
              </a:graphicData>
            </a:graphic>
          </wp:inline>
        </w:drawing>
      </w:r>
    </w:p>
    <w:p>
      <w:pPr>
        <w:jc w:val="center"/>
      </w:pPr>
      <w:r>
        <w:rPr>
          <w:i/>
          <w:sz w:val="20"/>
        </w:rPr>
        <w:t>Figure 3. Number of subjects per harmonized disease category.</w:t>
      </w:r>
    </w:p>
    <w:p/>
    <w:p>
      <w:pPr>
        <w:pStyle w:val="Heading3"/>
      </w:pPr>
      <w:r>
        <w:t>1.4 Sex Distribution</w:t>
      </w:r>
    </w:p>
    <w:p>
      <w:r>
        <w:t>Among subjects with available sex metadata (n=86), 52 were male and 34 were female. Fourteen subjects (CD3 and HC1 studies) lacked sex annotation.</w:t>
      </w:r>
    </w:p>
    <w:p>
      <w:pPr>
        <w:jc w:val="center"/>
      </w:pPr>
      <w:r>
        <w:drawing>
          <wp:inline xmlns:a="http://schemas.openxmlformats.org/drawingml/2006/main" xmlns:pic="http://schemas.openxmlformats.org/drawingml/2006/picture">
            <wp:extent cx="5943600" cy="5200650"/>
            <wp:docPr id="4" name="Picture 4"/>
            <wp:cNvGraphicFramePr>
              <a:graphicFrameLocks noChangeAspect="1"/>
            </wp:cNvGraphicFramePr>
            <a:graphic>
              <a:graphicData uri="http://schemas.openxmlformats.org/drawingml/2006/picture">
                <pic:pic>
                  <pic:nvPicPr>
                    <pic:cNvPr id="0" name="02b_subjects_per_sex.png"/>
                    <pic:cNvPicPr/>
                  </pic:nvPicPr>
                  <pic:blipFill>
                    <a:blip r:embed="rId12"/>
                    <a:stretch>
                      <a:fillRect/>
                    </a:stretch>
                  </pic:blipFill>
                  <pic:spPr>
                    <a:xfrm>
                      <a:off x="0" y="0"/>
                      <a:ext cx="5943600" cy="5200650"/>
                    </a:xfrm>
                    <a:prstGeom prst="rect"/>
                  </pic:spPr>
                </pic:pic>
              </a:graphicData>
            </a:graphic>
          </wp:inline>
        </w:drawing>
      </w:r>
    </w:p>
    <w:p>
      <w:pPr>
        <w:jc w:val="center"/>
      </w:pPr>
      <w:r>
        <w:rPr>
          <w:i/>
          <w:sz w:val="20"/>
        </w:rPr>
        <w:t>Figure 4. Sex distribution across the cohort.</w:t>
      </w:r>
    </w:p>
    <w:p/>
    <w:p>
      <w:pPr>
        <w:pStyle w:val="Heading3"/>
      </w:pPr>
      <w:r>
        <w:t>1.5 Age Distribution</w:t>
      </w:r>
    </w:p>
    <w:p>
      <w:r>
        <w:t>Age data was available for 86 subjects (median 48 years, range 18-87). The age distribution was roughly uniform across the 31-50 and 51-65 groups, with fewer subjects in the youngest (18-30) and oldest (66+) brackets.</w:t>
      </w:r>
    </w:p>
    <w:p>
      <w:pPr>
        <w:jc w:val="center"/>
      </w:pPr>
      <w:r>
        <w:drawing>
          <wp:inline xmlns:a="http://schemas.openxmlformats.org/drawingml/2006/main" xmlns:pic="http://schemas.openxmlformats.org/drawingml/2006/picture">
            <wp:extent cx="5943600" cy="4160520"/>
            <wp:docPr id="5" name="Picture 5"/>
            <wp:cNvGraphicFramePr>
              <a:graphicFrameLocks noChangeAspect="1"/>
            </wp:cNvGraphicFramePr>
            <a:graphic>
              <a:graphicData uri="http://schemas.openxmlformats.org/drawingml/2006/picture">
                <pic:pic>
                  <pic:nvPicPr>
                    <pic:cNvPr id="0" name="02c_age_distribution.png"/>
                    <pic:cNvPicPr/>
                  </pic:nvPicPr>
                  <pic:blipFill>
                    <a:blip r:embed="rId13"/>
                    <a:stretch>
                      <a:fillRect/>
                    </a:stretch>
                  </pic:blipFill>
                  <pic:spPr>
                    <a:xfrm>
                      <a:off x="0" y="0"/>
                      <a:ext cx="5943600" cy="4160520"/>
                    </a:xfrm>
                    <a:prstGeom prst="rect"/>
                  </pic:spPr>
                </pic:pic>
              </a:graphicData>
            </a:graphic>
          </wp:inline>
        </w:drawing>
      </w:r>
    </w:p>
    <w:p>
      <w:pPr>
        <w:jc w:val="center"/>
      </w:pPr>
      <w:r>
        <w:rPr>
          <w:i/>
          <w:sz w:val="20"/>
        </w:rPr>
        <w:t>Figure 5. Age distribution histogram. Red dashed line indicates the median age.</w:t>
      </w:r>
    </w:p>
    <w:p/>
    <w:p>
      <w:pPr>
        <w:jc w:val="center"/>
      </w:pPr>
      <w:r>
        <w:drawing>
          <wp:inline xmlns:a="http://schemas.openxmlformats.org/drawingml/2006/main" xmlns:pic="http://schemas.openxmlformats.org/drawingml/2006/picture">
            <wp:extent cx="5943600" cy="5200650"/>
            <wp:docPr id="6" name="Picture 6"/>
            <wp:cNvGraphicFramePr>
              <a:graphicFrameLocks noChangeAspect="1"/>
            </wp:cNvGraphicFramePr>
            <a:graphic>
              <a:graphicData uri="http://schemas.openxmlformats.org/drawingml/2006/picture">
                <pic:pic>
                  <pic:nvPicPr>
                    <pic:cNvPr id="0" name="02d_subjects_per_age_group.png"/>
                    <pic:cNvPicPr/>
                  </pic:nvPicPr>
                  <pic:blipFill>
                    <a:blip r:embed="rId14"/>
                    <a:stretch>
                      <a:fillRect/>
                    </a:stretch>
                  </pic:blipFill>
                  <pic:spPr>
                    <a:xfrm>
                      <a:off x="0" y="0"/>
                      <a:ext cx="5943600" cy="5200650"/>
                    </a:xfrm>
                    <a:prstGeom prst="rect"/>
                  </pic:spPr>
                </pic:pic>
              </a:graphicData>
            </a:graphic>
          </wp:inline>
        </w:drawing>
      </w:r>
    </w:p>
    <w:p>
      <w:pPr>
        <w:jc w:val="center"/>
      </w:pPr>
      <w:r>
        <w:rPr>
          <w:i/>
          <w:sz w:val="20"/>
        </w:rPr>
        <w:t>Figure 6. Number of subjects per age group.</w:t>
      </w:r>
    </w:p>
    <w:p/>
    <w:p>
      <w:pPr>
        <w:pStyle w:val="Heading3"/>
      </w:pPr>
      <w:r>
        <w:t>1.6 Cross-tabulations</w:t>
      </w:r>
    </w:p>
    <w:p>
      <w:r>
        <w:t>Figures 7-10 show the relationships between disease category, sex, age, and study. The sex ratio was relatively balanced within each disease category. Age distributions varied across disease groups, with Moderate and Recovered subjects tending to be older.</w:t>
      </w:r>
    </w:p>
    <w:p>
      <w:pPr>
        <w:jc w:val="center"/>
      </w:pPr>
      <w:r>
        <w:drawing>
          <wp:inline xmlns:a="http://schemas.openxmlformats.org/drawingml/2006/main" xmlns:pic="http://schemas.openxmlformats.org/drawingml/2006/picture">
            <wp:extent cx="5943600" cy="3467100"/>
            <wp:docPr id="7" name="Picture 7"/>
            <wp:cNvGraphicFramePr>
              <a:graphicFrameLocks noChangeAspect="1"/>
            </wp:cNvGraphicFramePr>
            <a:graphic>
              <a:graphicData uri="http://schemas.openxmlformats.org/drawingml/2006/picture">
                <pic:pic>
                  <pic:nvPicPr>
                    <pic:cNvPr id="0" name="03a_disease_by_sex.png"/>
                    <pic:cNvPicPr/>
                  </pic:nvPicPr>
                  <pic:blipFill>
                    <a:blip r:embed="rId15"/>
                    <a:stretch>
                      <a:fillRect/>
                    </a:stretch>
                  </pic:blipFill>
                  <pic:spPr>
                    <a:xfrm>
                      <a:off x="0" y="0"/>
                      <a:ext cx="5943600" cy="3467100"/>
                    </a:xfrm>
                    <a:prstGeom prst="rect"/>
                  </pic:spPr>
                </pic:pic>
              </a:graphicData>
            </a:graphic>
          </wp:inline>
        </w:drawing>
      </w:r>
    </w:p>
    <w:p>
      <w:pPr>
        <w:jc w:val="center"/>
      </w:pPr>
      <w:r>
        <w:rPr>
          <w:i/>
          <w:sz w:val="20"/>
        </w:rPr>
        <w:t>Figure 7. Disease category by sex.</w:t>
      </w:r>
    </w:p>
    <w:p/>
    <w:p>
      <w:pPr>
        <w:jc w:val="center"/>
      </w:pPr>
      <w:r>
        <w:drawing>
          <wp:inline xmlns:a="http://schemas.openxmlformats.org/drawingml/2006/main" xmlns:pic="http://schemas.openxmlformats.org/drawingml/2006/picture">
            <wp:extent cx="5943600" cy="3200400"/>
            <wp:docPr id="8" name="Picture 8"/>
            <wp:cNvGraphicFramePr>
              <a:graphicFrameLocks noChangeAspect="1"/>
            </wp:cNvGraphicFramePr>
            <a:graphic>
              <a:graphicData uri="http://schemas.openxmlformats.org/drawingml/2006/picture">
                <pic:pic>
                  <pic:nvPicPr>
                    <pic:cNvPr id="0" name="03b_disease_by_age_group.png"/>
                    <pic:cNvPicPr/>
                  </pic:nvPicPr>
                  <pic:blipFill>
                    <a:blip r:embed="rId16"/>
                    <a:stretch>
                      <a:fillRect/>
                    </a:stretch>
                  </pic:blipFill>
                  <pic:spPr>
                    <a:xfrm>
                      <a:off x="0" y="0"/>
                      <a:ext cx="5943600" cy="3200400"/>
                    </a:xfrm>
                    <a:prstGeom prst="rect"/>
                  </pic:spPr>
                </pic:pic>
              </a:graphicData>
            </a:graphic>
          </wp:inline>
        </w:drawing>
      </w:r>
    </w:p>
    <w:p>
      <w:pPr>
        <w:jc w:val="center"/>
      </w:pPr>
      <w:r>
        <w:rPr>
          <w:i/>
          <w:sz w:val="20"/>
        </w:rPr>
        <w:t>Figure 8. Disease category by age group.</w:t>
      </w:r>
    </w:p>
    <w:p/>
    <w:p>
      <w:pPr>
        <w:jc w:val="center"/>
      </w:pPr>
      <w:r>
        <w:drawing>
          <wp:inline xmlns:a="http://schemas.openxmlformats.org/drawingml/2006/main" xmlns:pic="http://schemas.openxmlformats.org/drawingml/2006/picture">
            <wp:extent cx="5943600" cy="3467100"/>
            <wp:docPr id="9" name="Picture 9"/>
            <wp:cNvGraphicFramePr>
              <a:graphicFrameLocks noChangeAspect="1"/>
            </wp:cNvGraphicFramePr>
            <a:graphic>
              <a:graphicData uri="http://schemas.openxmlformats.org/drawingml/2006/picture">
                <pic:pic>
                  <pic:nvPicPr>
                    <pic:cNvPr id="0" name="03c_study_by_disease.png"/>
                    <pic:cNvPicPr/>
                  </pic:nvPicPr>
                  <pic:blipFill>
                    <a:blip r:embed="rId17"/>
                    <a:stretch>
                      <a:fillRect/>
                    </a:stretch>
                  </pic:blipFill>
                  <pic:spPr>
                    <a:xfrm>
                      <a:off x="0" y="0"/>
                      <a:ext cx="5943600" cy="3467100"/>
                    </a:xfrm>
                    <a:prstGeom prst="rect"/>
                  </pic:spPr>
                </pic:pic>
              </a:graphicData>
            </a:graphic>
          </wp:inline>
        </w:drawing>
      </w:r>
    </w:p>
    <w:p>
      <w:pPr>
        <w:jc w:val="center"/>
      </w:pPr>
      <w:r>
        <w:rPr>
          <w:i/>
          <w:sz w:val="20"/>
        </w:rPr>
        <w:t>Figure 9. Study composition by disease category.</w:t>
      </w:r>
    </w:p>
    <w:p/>
    <w:p>
      <w:pPr>
        <w:jc w:val="center"/>
      </w:pPr>
      <w:r>
        <w:drawing>
          <wp:inline xmlns:a="http://schemas.openxmlformats.org/drawingml/2006/main" xmlns:pic="http://schemas.openxmlformats.org/drawingml/2006/picture">
            <wp:extent cx="5943600" cy="3467100"/>
            <wp:docPr id="10" name="Picture 10"/>
            <wp:cNvGraphicFramePr>
              <a:graphicFrameLocks noChangeAspect="1"/>
            </wp:cNvGraphicFramePr>
            <a:graphic>
              <a:graphicData uri="http://schemas.openxmlformats.org/drawingml/2006/picture">
                <pic:pic>
                  <pic:nvPicPr>
                    <pic:cNvPr id="0" name="03d_age_by_disease_boxplot.png"/>
                    <pic:cNvPicPr/>
                  </pic:nvPicPr>
                  <pic:blipFill>
                    <a:blip r:embed="rId18"/>
                    <a:stretch>
                      <a:fillRect/>
                    </a:stretch>
                  </pic:blipFill>
                  <pic:spPr>
                    <a:xfrm>
                      <a:off x="0" y="0"/>
                      <a:ext cx="5943600" cy="3467100"/>
                    </a:xfrm>
                    <a:prstGeom prst="rect"/>
                  </pic:spPr>
                </pic:pic>
              </a:graphicData>
            </a:graphic>
          </wp:inline>
        </w:drawing>
      </w:r>
    </w:p>
    <w:p>
      <w:pPr>
        <w:jc w:val="center"/>
      </w:pPr>
      <w:r>
        <w:rPr>
          <w:i/>
          <w:sz w:val="20"/>
        </w:rPr>
        <w:t>Figure 10. Age distribution by disease category (box plots with individual data points).</w:t>
      </w:r>
    </w:p>
    <w:p/>
    <w:p>
      <w:pPr>
        <w:jc w:val="center"/>
      </w:pPr>
      <w:r>
        <w:drawing>
          <wp:inline xmlns:a="http://schemas.openxmlformats.org/drawingml/2006/main" xmlns:pic="http://schemas.openxmlformats.org/drawingml/2006/picture">
            <wp:extent cx="5943600" cy="3657600"/>
            <wp:docPr id="11" name="Picture 11"/>
            <wp:cNvGraphicFramePr>
              <a:graphicFrameLocks noChangeAspect="1"/>
            </wp:cNvGraphicFramePr>
            <a:graphic>
              <a:graphicData uri="http://schemas.openxmlformats.org/drawingml/2006/picture">
                <pic:pic>
                  <pic:nvPicPr>
                    <pic:cNvPr id="0" name="03e_heatmap_disease_age_sex.png"/>
                    <pic:cNvPicPr/>
                  </pic:nvPicPr>
                  <pic:blipFill>
                    <a:blip r:embed="rId19"/>
                    <a:stretch>
                      <a:fillRect/>
                    </a:stretch>
                  </pic:blipFill>
                  <pic:spPr>
                    <a:xfrm>
                      <a:off x="0" y="0"/>
                      <a:ext cx="5943600" cy="3657600"/>
                    </a:xfrm>
                    <a:prstGeom prst="rect"/>
                  </pic:spPr>
                </pic:pic>
              </a:graphicData>
            </a:graphic>
          </wp:inline>
        </w:drawing>
      </w:r>
    </w:p>
    <w:p>
      <w:pPr>
        <w:jc w:val="center"/>
      </w:pPr>
      <w:r>
        <w:rPr>
          <w:i/>
          <w:sz w:val="20"/>
        </w:rPr>
        <w:t>Figure 11. Heatmap of subject counts by disease category, age group, and sex.</w:t>
      </w:r>
    </w:p>
    <w:p/>
    <w:p>
      <w:r>
        <w:br w:type="page"/>
      </w:r>
    </w:p>
    <w:p>
      <w:pPr>
        <w:pStyle w:val="Heading2"/>
      </w:pPr>
      <w:r>
        <w:t>2.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2.1 Number of Expanded Clones by Disease Category</w:t>
      </w:r>
    </w:p>
    <w:p>
      <w:r>
        <w:t>Figure 12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5943600" cy="3169920"/>
            <wp:docPr id="12" name="Picture 12"/>
            <wp:cNvGraphicFramePr>
              <a:graphicFrameLocks noChangeAspect="1"/>
            </wp:cNvGraphicFramePr>
            <a:graphic>
              <a:graphicData uri="http://schemas.openxmlformats.org/drawingml/2006/picture">
                <pic:pic>
                  <pic:nvPicPr>
                    <pic:cNvPr id="0" name="01_n_expanded_clones_by_disease.png"/>
                    <pic:cNvPicPr/>
                  </pic:nvPicPr>
                  <pic:blipFill>
                    <a:blip r:embed="rId20"/>
                    <a:stretch>
                      <a:fillRect/>
                    </a:stretch>
                  </pic:blipFill>
                  <pic:spPr>
                    <a:xfrm>
                      <a:off x="0" y="0"/>
                      <a:ext cx="5943600" cy="3169920"/>
                    </a:xfrm>
                    <a:prstGeom prst="rect"/>
                  </pic:spPr>
                </pic:pic>
              </a:graphicData>
            </a:graphic>
          </wp:inline>
        </w:drawing>
      </w:r>
    </w:p>
    <w:p>
      <w:pPr>
        <w:jc w:val="center"/>
      </w:pPr>
      <w:r>
        <w:rPr>
          <w:i/>
          <w:sz w:val="20"/>
        </w:rPr>
        <w:t>Figure 12. Number of expanded clones (size &gt; 20) by disease category. Box plots show median and IQR; red diamond indicates mean with SD error bars. Points are colored by original disease label.</w:t>
      </w:r>
    </w:p>
    <w:p/>
    <w:p>
      <w:pPr>
        <w:pStyle w:val="Heading3"/>
      </w:pPr>
      <w:r>
        <w:t>2.2 Median Clone Size by Disease Category</w:t>
      </w:r>
    </w:p>
    <w:p>
      <w:r>
        <w:t>Figure 13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5943600" cy="3169920"/>
            <wp:docPr id="13" name="Picture 13"/>
            <wp:cNvGraphicFramePr>
              <a:graphicFrameLocks noChangeAspect="1"/>
            </wp:cNvGraphicFramePr>
            <a:graphic>
              <a:graphicData uri="http://schemas.openxmlformats.org/drawingml/2006/picture">
                <pic:pic>
                  <pic:nvPicPr>
                    <pic:cNvPr id="0" name="02_median_clone_size_by_disease.png"/>
                    <pic:cNvPicPr/>
                  </pic:nvPicPr>
                  <pic:blipFill>
                    <a:blip r:embed="rId21"/>
                    <a:stretch>
                      <a:fillRect/>
                    </a:stretch>
                  </pic:blipFill>
                  <pic:spPr>
                    <a:xfrm>
                      <a:off x="0" y="0"/>
                      <a:ext cx="5943600" cy="3169920"/>
                    </a:xfrm>
                    <a:prstGeom prst="rect"/>
                  </pic:spPr>
                </pic:pic>
              </a:graphicData>
            </a:graphic>
          </wp:inline>
        </w:drawing>
      </w:r>
    </w:p>
    <w:p>
      <w:pPr>
        <w:jc w:val="center"/>
      </w:pPr>
      <w:r>
        <w:rPr>
          <w:i/>
          <w:sz w:val="20"/>
        </w:rPr>
        <w:t>Figure 13. Median clone size per subject by disease category.</w:t>
      </w:r>
    </w:p>
    <w:p/>
    <w:p>
      <w:pPr>
        <w:pStyle w:val="Heading3"/>
      </w:pPr>
      <w:r>
        <w:t>2.3 Clone Size by Age and Disease</w:t>
      </w:r>
    </w:p>
    <w:p>
      <w:r>
        <w:t>Figures 14 and 15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5943600" cy="4245429"/>
            <wp:docPr id="14" name="Picture 14"/>
            <wp:cNvGraphicFramePr>
              <a:graphicFrameLocks noChangeAspect="1"/>
            </wp:cNvGraphicFramePr>
            <a:graphic>
              <a:graphicData uri="http://schemas.openxmlformats.org/drawingml/2006/picture">
                <pic:pic>
                  <pic:nvPicPr>
                    <pic:cNvPr id="0" name="03_clone_count_by_age_disease.png"/>
                    <pic:cNvPicPr/>
                  </pic:nvPicPr>
                  <pic:blipFill>
                    <a:blip r:embed="rId22"/>
                    <a:stretch>
                      <a:fillRect/>
                    </a:stretch>
                  </pic:blipFill>
                  <pic:spPr>
                    <a:xfrm>
                      <a:off x="0" y="0"/>
                      <a:ext cx="5943600" cy="4245429"/>
                    </a:xfrm>
                    <a:prstGeom prst="rect"/>
                  </pic:spPr>
                </pic:pic>
              </a:graphicData>
            </a:graphic>
          </wp:inline>
        </w:drawing>
      </w:r>
    </w:p>
    <w:p>
      <w:pPr>
        <w:jc w:val="center"/>
      </w:pPr>
      <w:r>
        <w:rPr>
          <w:i/>
          <w:sz w:val="20"/>
        </w:rPr>
        <w:t>Figure 14. Number of expanded clones by age group, faceted by disease category.</w:t>
      </w:r>
    </w:p>
    <w:p/>
    <w:p>
      <w:pPr>
        <w:jc w:val="center"/>
      </w:pPr>
      <w:r>
        <w:drawing>
          <wp:inline xmlns:a="http://schemas.openxmlformats.org/drawingml/2006/main" xmlns:pic="http://schemas.openxmlformats.org/drawingml/2006/picture">
            <wp:extent cx="5943600" cy="4245429"/>
            <wp:docPr id="15" name="Picture 15"/>
            <wp:cNvGraphicFramePr>
              <a:graphicFrameLocks noChangeAspect="1"/>
            </wp:cNvGraphicFramePr>
            <a:graphic>
              <a:graphicData uri="http://schemas.openxmlformats.org/drawingml/2006/picture">
                <pic:pic>
                  <pic:nvPicPr>
                    <pic:cNvPr id="0" name="05_clone_size_by_age_disease.png"/>
                    <pic:cNvPicPr/>
                  </pic:nvPicPr>
                  <pic:blipFill>
                    <a:blip r:embed="rId23"/>
                    <a:stretch>
                      <a:fillRect/>
                    </a:stretch>
                  </pic:blipFill>
                  <pic:spPr>
                    <a:xfrm>
                      <a:off x="0" y="0"/>
                      <a:ext cx="5943600" cy="4245429"/>
                    </a:xfrm>
                    <a:prstGeom prst="rect"/>
                  </pic:spPr>
                </pic:pic>
              </a:graphicData>
            </a:graphic>
          </wp:inline>
        </w:drawing>
      </w:r>
    </w:p>
    <w:p>
      <w:pPr>
        <w:jc w:val="center"/>
      </w:pPr>
      <w:r>
        <w:rPr>
          <w:i/>
          <w:sz w:val="20"/>
        </w:rPr>
        <w:t>Figure 15. Median clone size by age group, faceted by disease category.</w:t>
      </w:r>
    </w:p>
    <w:p/>
    <w:p>
      <w:pPr>
        <w:pStyle w:val="Heading3"/>
      </w:pPr>
      <w:r>
        <w:t>2.4 Clone Size by Sex and Disease</w:t>
      </w:r>
    </w:p>
    <w:p>
      <w:r>
        <w:t>Figures 16 and 17 examine sex-based differences in clonal expansion within each disease category.</w:t>
      </w:r>
    </w:p>
    <w:p>
      <w:pPr>
        <w:jc w:val="center"/>
      </w:pPr>
      <w:r>
        <w:drawing>
          <wp:inline xmlns:a="http://schemas.openxmlformats.org/drawingml/2006/main" xmlns:pic="http://schemas.openxmlformats.org/drawingml/2006/picture">
            <wp:extent cx="5943600" cy="4245429"/>
            <wp:docPr id="16" name="Picture 16"/>
            <wp:cNvGraphicFramePr>
              <a:graphicFrameLocks noChangeAspect="1"/>
            </wp:cNvGraphicFramePr>
            <a:graphic>
              <a:graphicData uri="http://schemas.openxmlformats.org/drawingml/2006/picture">
                <pic:pic>
                  <pic:nvPicPr>
                    <pic:cNvPr id="0" name="04_clone_count_by_sex_disease.png"/>
                    <pic:cNvPicPr/>
                  </pic:nvPicPr>
                  <pic:blipFill>
                    <a:blip r:embed="rId24"/>
                    <a:stretch>
                      <a:fillRect/>
                    </a:stretch>
                  </pic:blipFill>
                  <pic:spPr>
                    <a:xfrm>
                      <a:off x="0" y="0"/>
                      <a:ext cx="5943600" cy="4245429"/>
                    </a:xfrm>
                    <a:prstGeom prst="rect"/>
                  </pic:spPr>
                </pic:pic>
              </a:graphicData>
            </a:graphic>
          </wp:inline>
        </w:drawing>
      </w:r>
    </w:p>
    <w:p>
      <w:pPr>
        <w:jc w:val="center"/>
      </w:pPr>
      <w:r>
        <w:rPr>
          <w:i/>
          <w:sz w:val="20"/>
        </w:rPr>
        <w:t>Figure 16. Number of expanded clones by sex, faceted by disease category.</w:t>
      </w:r>
    </w:p>
    <w:p/>
    <w:p>
      <w:pPr>
        <w:jc w:val="center"/>
      </w:pPr>
      <w:r>
        <w:drawing>
          <wp:inline xmlns:a="http://schemas.openxmlformats.org/drawingml/2006/main" xmlns:pic="http://schemas.openxmlformats.org/drawingml/2006/picture">
            <wp:extent cx="5943600" cy="4245429"/>
            <wp:docPr id="17" name="Picture 17"/>
            <wp:cNvGraphicFramePr>
              <a:graphicFrameLocks noChangeAspect="1"/>
            </wp:cNvGraphicFramePr>
            <a:graphic>
              <a:graphicData uri="http://schemas.openxmlformats.org/drawingml/2006/picture">
                <pic:pic>
                  <pic:nvPicPr>
                    <pic:cNvPr id="0" name="06_clone_size_by_sex_disease.png"/>
                    <pic:cNvPicPr/>
                  </pic:nvPicPr>
                  <pic:blipFill>
                    <a:blip r:embed="rId25"/>
                    <a:stretch>
                      <a:fillRect/>
                    </a:stretch>
                  </pic:blipFill>
                  <pic:spPr>
                    <a:xfrm>
                      <a:off x="0" y="0"/>
                      <a:ext cx="5943600" cy="4245429"/>
                    </a:xfrm>
                    <a:prstGeom prst="rect"/>
                  </pic:spPr>
                </pic:pic>
              </a:graphicData>
            </a:graphic>
          </wp:inline>
        </w:drawing>
      </w:r>
    </w:p>
    <w:p>
      <w:pPr>
        <w:jc w:val="center"/>
      </w:pPr>
      <w:r>
        <w:rPr>
          <w:i/>
          <w:sz w:val="20"/>
        </w:rPr>
        <w:t>Figure 17. Median clone size by sex, faceted by disease category.</w:t>
      </w:r>
    </w:p>
    <w:p/>
    <w:p>
      <w:r>
        <w:br w:type="page"/>
      </w:r>
    </w:p>
    <w:p>
      <w:pPr>
        <w:pStyle w:val="Heading2"/>
      </w:pPr>
      <w:r>
        <w:t>3. Clonal Diversity (Clone Count)</w:t>
      </w:r>
    </w:p>
    <w:p>
      <w:r>
        <w:t>Clone count, representing the number of unique clones per subject, serves as a measure of clonal diversity. Higher clone counts indicate greater repertoire diversity.</w:t>
      </w:r>
    </w:p>
    <w:p>
      <w:pPr>
        <w:pStyle w:val="Heading3"/>
      </w:pPr>
      <w:r>
        <w:t>3.1 Clone Count by Disease Category</w:t>
      </w:r>
    </w:p>
    <w:p>
      <w:r>
        <w:t>Figure 18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5943600" cy="3962400"/>
            <wp:docPr id="18" name="Picture 18"/>
            <wp:cNvGraphicFramePr>
              <a:graphicFrameLocks noChangeAspect="1"/>
            </wp:cNvGraphicFramePr>
            <a:graphic>
              <a:graphicData uri="http://schemas.openxmlformats.org/drawingml/2006/picture">
                <pic:pic>
                  <pic:nvPicPr>
                    <pic:cNvPr id="0" name="07_clone_count_by_disease.png"/>
                    <pic:cNvPicPr/>
                  </pic:nvPicPr>
                  <pic:blipFill>
                    <a:blip r:embed="rId26"/>
                    <a:stretch>
                      <a:fillRect/>
                    </a:stretch>
                  </pic:blipFill>
                  <pic:spPr>
                    <a:xfrm>
                      <a:off x="0" y="0"/>
                      <a:ext cx="5943600" cy="3962400"/>
                    </a:xfrm>
                    <a:prstGeom prst="rect"/>
                  </pic:spPr>
                </pic:pic>
              </a:graphicData>
            </a:graphic>
          </wp:inline>
        </w:drawing>
      </w:r>
    </w:p>
    <w:p>
      <w:pPr>
        <w:jc w:val="center"/>
      </w:pPr>
      <w:r>
        <w:rPr>
          <w:i/>
          <w:sz w:val="20"/>
        </w:rPr>
        <w:t>Figure 18.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3.2 Clone Count by Age Group and Disease</w:t>
      </w:r>
    </w:p>
    <w:p>
      <w:r>
        <w:t>Figure 19 displays clone count distributions stratified by age group within each disease category.</w:t>
      </w:r>
    </w:p>
    <w:p>
      <w:pPr>
        <w:jc w:val="center"/>
      </w:pPr>
      <w:r>
        <w:drawing>
          <wp:inline xmlns:a="http://schemas.openxmlformats.org/drawingml/2006/main" xmlns:pic="http://schemas.openxmlformats.org/drawingml/2006/picture">
            <wp:extent cx="5943600" cy="4245429"/>
            <wp:docPr id="19" name="Picture 19"/>
            <wp:cNvGraphicFramePr>
              <a:graphicFrameLocks noChangeAspect="1"/>
            </wp:cNvGraphicFramePr>
            <a:graphic>
              <a:graphicData uri="http://schemas.openxmlformats.org/drawingml/2006/picture">
                <pic:pic>
                  <pic:nvPicPr>
                    <pic:cNvPr id="0" name="08_clone_count_by_age_disease.png"/>
                    <pic:cNvPicPr/>
                  </pic:nvPicPr>
                  <pic:blipFill>
                    <a:blip r:embed="rId27"/>
                    <a:stretch>
                      <a:fillRect/>
                    </a:stretch>
                  </pic:blipFill>
                  <pic:spPr>
                    <a:xfrm>
                      <a:off x="0" y="0"/>
                      <a:ext cx="5943600" cy="4245429"/>
                    </a:xfrm>
                    <a:prstGeom prst="rect"/>
                  </pic:spPr>
                </pic:pic>
              </a:graphicData>
            </a:graphic>
          </wp:inline>
        </w:drawing>
      </w:r>
    </w:p>
    <w:p>
      <w:pPr>
        <w:jc w:val="center"/>
      </w:pPr>
      <w:r>
        <w:rPr>
          <w:i/>
          <w:sz w:val="20"/>
        </w:rPr>
        <w:t>Figure 19. Clone count by age group, faceted by disease category.</w:t>
      </w:r>
    </w:p>
    <w:p/>
    <w:p>
      <w:pPr>
        <w:pStyle w:val="Heading3"/>
      </w:pPr>
      <w:r>
        <w:t>3.3 Clone Count by Sex and Disease</w:t>
      </w:r>
    </w:p>
    <w:p>
      <w:r>
        <w:t>Figure 20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5943600" cy="4245429"/>
            <wp:docPr id="20" name="Picture 20"/>
            <wp:cNvGraphicFramePr>
              <a:graphicFrameLocks noChangeAspect="1"/>
            </wp:cNvGraphicFramePr>
            <a:graphic>
              <a:graphicData uri="http://schemas.openxmlformats.org/drawingml/2006/picture">
                <pic:pic>
                  <pic:nvPicPr>
                    <pic:cNvPr id="0" name="09_clone_count_by_sex_disease.png"/>
                    <pic:cNvPicPr/>
                  </pic:nvPicPr>
                  <pic:blipFill>
                    <a:blip r:embed="rId28"/>
                    <a:stretch>
                      <a:fillRect/>
                    </a:stretch>
                  </pic:blipFill>
                  <pic:spPr>
                    <a:xfrm>
                      <a:off x="0" y="0"/>
                      <a:ext cx="5943600" cy="4245429"/>
                    </a:xfrm>
                    <a:prstGeom prst="rect"/>
                  </pic:spPr>
                </pic:pic>
              </a:graphicData>
            </a:graphic>
          </wp:inline>
        </w:drawing>
      </w:r>
    </w:p>
    <w:p>
      <w:pPr>
        <w:jc w:val="center"/>
      </w:pPr>
      <w:r>
        <w:rPr>
          <w:i/>
          <w:sz w:val="20"/>
        </w:rPr>
        <w:t>Figure 20.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4.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4.1 Top-X Proportion by Disease Category</w:t>
      </w:r>
    </w:p>
    <w:p>
      <w:r>
        <w:t>Figure 21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jc w:val="center"/>
      </w:pPr>
      <w:r>
        <w:drawing>
          <wp:inline xmlns:a="http://schemas.openxmlformats.org/drawingml/2006/main" xmlns:pic="http://schemas.openxmlformats.org/drawingml/2006/picture">
            <wp:extent cx="5943600" cy="2161309"/>
            <wp:docPr id="21" name="Picture 21"/>
            <wp:cNvGraphicFramePr>
              <a:graphicFrameLocks noChangeAspect="1"/>
            </wp:cNvGraphicFramePr>
            <a:graphic>
              <a:graphicData uri="http://schemas.openxmlformats.org/drawingml/2006/picture">
                <pic:pic>
                  <pic:nvPicPr>
                    <pic:cNvPr id="0" name="10_topX_stacked_by_disease.png"/>
                    <pic:cNvPicPr/>
                  </pic:nvPicPr>
                  <pic:blipFill>
                    <a:blip r:embed="rId29"/>
                    <a:stretch>
                      <a:fillRect/>
                    </a:stretch>
                  </pic:blipFill>
                  <pic:spPr>
                    <a:xfrm>
                      <a:off x="0" y="0"/>
                      <a:ext cx="5943600" cy="2161309"/>
                    </a:xfrm>
                    <a:prstGeom prst="rect"/>
                  </pic:spPr>
                </pic:pic>
              </a:graphicData>
            </a:graphic>
          </wp:inline>
        </w:drawing>
      </w:r>
    </w:p>
    <w:p>
      <w:pPr>
        <w:jc w:val="center"/>
      </w:pPr>
      <w:r>
        <w:rPr>
          <w:i/>
          <w:sz w:val="20"/>
        </w:rPr>
        <w:t>Figure 21. Clonal dominance: fraction of total repertoire copies held by Top 10 (red), Top 11-100 (orange), Top 101-1000 (green), and remaining (blue) clones per subject, faceted by disease category and sorted by Top 10 dominance.</w:t>
      </w:r>
    </w:p>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c>
          <w:tcPr>
            <w:tcW w:type="dxa" w:w="1728"/>
          </w:tcPr>
          <w:p>
            <w:pPr>
              <w:jc w:val="center"/>
            </w:pPr>
            <w:r>
              <w:rPr>
                <w:b/>
                <w:sz w:val="18"/>
              </w:rPr>
              <w:t>Top 1000 (%)</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15.8</w:t>
            </w:r>
          </w:p>
        </w:tc>
        <w:tc>
          <w:tcPr>
            <w:tcW w:type="dxa" w:w="1728"/>
          </w:tcPr>
          <w:p>
            <w:pPr>
              <w:jc w:val="center"/>
            </w:pPr>
            <w:r>
              <w:rPr>
                <w:sz w:val="18"/>
              </w:rPr>
              <w:t>34.4</w:t>
            </w:r>
          </w:p>
        </w:tc>
        <w:tc>
          <w:tcPr>
            <w:tcW w:type="dxa" w:w="1728"/>
          </w:tcPr>
          <w:p>
            <w:pPr>
              <w:jc w:val="center"/>
            </w:pPr>
            <w:r>
              <w:rPr>
                <w:sz w:val="18"/>
              </w:rPr>
              <w:t>70.8</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10.6</w:t>
            </w:r>
          </w:p>
        </w:tc>
        <w:tc>
          <w:tcPr>
            <w:tcW w:type="dxa" w:w="1728"/>
          </w:tcPr>
          <w:p>
            <w:pPr>
              <w:jc w:val="center"/>
            </w:pPr>
            <w:r>
              <w:rPr>
                <w:sz w:val="18"/>
              </w:rPr>
              <w:t>33.3</w:t>
            </w:r>
          </w:p>
        </w:tc>
        <w:tc>
          <w:tcPr>
            <w:tcW w:type="dxa" w:w="1728"/>
          </w:tcPr>
          <w:p>
            <w:pPr>
              <w:jc w:val="center"/>
            </w:pPr>
            <w:r>
              <w:rPr>
                <w:sz w:val="18"/>
              </w:rPr>
              <w:t>75.2</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23.1</w:t>
            </w:r>
          </w:p>
        </w:tc>
        <w:tc>
          <w:tcPr>
            <w:tcW w:type="dxa" w:w="1728"/>
          </w:tcPr>
          <w:p>
            <w:pPr>
              <w:jc w:val="center"/>
            </w:pPr>
            <w:r>
              <w:rPr>
                <w:sz w:val="18"/>
              </w:rPr>
              <w:t>46.4</w:t>
            </w:r>
          </w:p>
        </w:tc>
        <w:tc>
          <w:tcPr>
            <w:tcW w:type="dxa" w:w="1728"/>
          </w:tcPr>
          <w:p>
            <w:pPr>
              <w:jc w:val="center"/>
            </w:pPr>
            <w:r>
              <w:rPr>
                <w:sz w:val="18"/>
              </w:rPr>
              <w:t>74.5</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13.7</w:t>
            </w:r>
          </w:p>
        </w:tc>
        <w:tc>
          <w:tcPr>
            <w:tcW w:type="dxa" w:w="1728"/>
          </w:tcPr>
          <w:p>
            <w:pPr>
              <w:jc w:val="center"/>
            </w:pPr>
            <w:r>
              <w:rPr>
                <w:sz w:val="18"/>
              </w:rPr>
              <w:t>35.9</w:t>
            </w:r>
          </w:p>
        </w:tc>
        <w:tc>
          <w:tcPr>
            <w:tcW w:type="dxa" w:w="1728"/>
          </w:tcPr>
          <w:p>
            <w:pPr>
              <w:jc w:val="center"/>
            </w:pPr>
            <w:r>
              <w:rPr>
                <w:sz w:val="18"/>
              </w:rPr>
              <w:t>62.0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9.6</w:t>
            </w:r>
          </w:p>
        </w:tc>
        <w:tc>
          <w:tcPr>
            <w:tcW w:type="dxa" w:w="1728"/>
          </w:tcPr>
          <w:p>
            <w:pPr>
              <w:jc w:val="center"/>
            </w:pPr>
            <w:r>
              <w:rPr>
                <w:sz w:val="18"/>
              </w:rPr>
              <w:t>36.0</w:t>
            </w:r>
          </w:p>
        </w:tc>
        <w:tc>
          <w:tcPr>
            <w:tcW w:type="dxa" w:w="1728"/>
          </w:tcPr>
          <w:p>
            <w:pPr>
              <w:jc w:val="center"/>
            </w:pPr>
            <w:r>
              <w:rPr>
                <w:sz w:val="18"/>
              </w:rPr>
              <w:t>74.0</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16.9</w:t>
            </w:r>
          </w:p>
        </w:tc>
        <w:tc>
          <w:tcPr>
            <w:tcW w:type="dxa" w:w="1728"/>
          </w:tcPr>
          <w:p>
            <w:pPr>
              <w:jc w:val="center"/>
            </w:pPr>
            <w:r>
              <w:rPr>
                <w:sz w:val="18"/>
              </w:rPr>
              <w:t>58.7</w:t>
            </w:r>
          </w:p>
        </w:tc>
        <w:tc>
          <w:tcPr>
            <w:tcW w:type="dxa" w:w="1728"/>
          </w:tcPr>
          <w:p>
            <w:pPr>
              <w:jc w:val="center"/>
            </w:pPr>
            <w:r>
              <w:rPr>
                <w:sz w:val="18"/>
              </w:rPr>
              <w:t>99.3</w:t>
            </w:r>
          </w:p>
        </w:tc>
      </w:tr>
    </w:tbl>
    <w:p/>
    <w:p>
      <w:pPr>
        <w:pStyle w:val="Heading3"/>
      </w:pPr>
      <w:r>
        <w:t>4.2 Top-X Proportion by Age and Disease</w:t>
      </w:r>
    </w:p>
    <w:p>
      <w:r>
        <w:t>Figure 22 presents the top-X clone proportions stratified by age group within each disease category.</w:t>
      </w:r>
    </w:p>
    <w:p>
      <w:pPr>
        <w:jc w:val="center"/>
      </w:pPr>
      <w:r>
        <w:drawing>
          <wp:inline xmlns:a="http://schemas.openxmlformats.org/drawingml/2006/main" xmlns:pic="http://schemas.openxmlformats.org/drawingml/2006/picture">
            <wp:extent cx="5943600" cy="1485900"/>
            <wp:docPr id="22" name="Picture 22"/>
            <wp:cNvGraphicFramePr>
              <a:graphicFrameLocks noChangeAspect="1"/>
            </wp:cNvGraphicFramePr>
            <a:graphic>
              <a:graphicData uri="http://schemas.openxmlformats.org/drawingml/2006/picture">
                <pic:pic>
                  <pic:nvPicPr>
                    <pic:cNvPr id="0" name="11_topX_stacked_by_age_disease.png"/>
                    <pic:cNvPicPr/>
                  </pic:nvPicPr>
                  <pic:blipFill>
                    <a:blip r:embed="rId30"/>
                    <a:stretch>
                      <a:fillRect/>
                    </a:stretch>
                  </pic:blipFill>
                  <pic:spPr>
                    <a:xfrm>
                      <a:off x="0" y="0"/>
                      <a:ext cx="5943600" cy="1485900"/>
                    </a:xfrm>
                    <a:prstGeom prst="rect"/>
                  </pic:spPr>
                </pic:pic>
              </a:graphicData>
            </a:graphic>
          </wp:inline>
        </w:drawing>
      </w:r>
    </w:p>
    <w:p>
      <w:pPr>
        <w:jc w:val="center"/>
      </w:pPr>
      <w:r>
        <w:rPr>
          <w:i/>
          <w:sz w:val="20"/>
        </w:rPr>
        <w:t>Figure 22. Clonal dominance stacked bars per subject, faceted by disease category and age group, sorted by Top 10 dominance.</w:t>
      </w:r>
    </w:p>
    <w:p/>
    <w:p>
      <w:pPr>
        <w:pStyle w:val="Heading3"/>
      </w:pPr>
      <w:r>
        <w:t>4.3 Top-X Proportion by Sex and Disease</w:t>
      </w:r>
    </w:p>
    <w:p>
      <w:r>
        <w:t>Figure 23 shows top-X clone proportions by sex within each disease category.</w:t>
      </w:r>
    </w:p>
    <w:p>
      <w:pPr>
        <w:jc w:val="center"/>
      </w:pPr>
      <w:r>
        <w:drawing>
          <wp:inline xmlns:a="http://schemas.openxmlformats.org/drawingml/2006/main" xmlns:pic="http://schemas.openxmlformats.org/drawingml/2006/picture">
            <wp:extent cx="5943600" cy="1698171"/>
            <wp:docPr id="23" name="Picture 23"/>
            <wp:cNvGraphicFramePr>
              <a:graphicFrameLocks noChangeAspect="1"/>
            </wp:cNvGraphicFramePr>
            <a:graphic>
              <a:graphicData uri="http://schemas.openxmlformats.org/drawingml/2006/picture">
                <pic:pic>
                  <pic:nvPicPr>
                    <pic:cNvPr id="0" name="11b_topX_stacked_by_sex_disease.png"/>
                    <pic:cNvPicPr/>
                  </pic:nvPicPr>
                  <pic:blipFill>
                    <a:blip r:embed="rId31"/>
                    <a:stretch>
                      <a:fillRect/>
                    </a:stretch>
                  </pic:blipFill>
                  <pic:spPr>
                    <a:xfrm>
                      <a:off x="0" y="0"/>
                      <a:ext cx="5943600" cy="1698171"/>
                    </a:xfrm>
                    <a:prstGeom prst="rect"/>
                  </pic:spPr>
                </pic:pic>
              </a:graphicData>
            </a:graphic>
          </wp:inline>
        </w:drawing>
      </w:r>
    </w:p>
    <w:p>
      <w:pPr>
        <w:jc w:val="center"/>
      </w:pPr>
      <w:r>
        <w:rPr>
          <w:i/>
          <w:sz w:val="20"/>
        </w:rPr>
        <w:t>Figure 23. Clonal dominance stacked bars per subject, faceted by disease category and sex, sorted by Top 10 dominance.</w:t>
      </w:r>
    </w:p>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12.4</w:t>
            </w:r>
          </w:p>
        </w:tc>
        <w:tc>
          <w:tcPr>
            <w:tcW w:type="dxa" w:w="1728"/>
          </w:tcPr>
          <w:p>
            <w:pPr>
              <w:jc w:val="center"/>
            </w:pPr>
            <w:r>
              <w:rPr>
                <w:sz w:val="18"/>
              </w:rPr>
              <w:t>38.6</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19.2</w:t>
            </w:r>
          </w:p>
        </w:tc>
        <w:tc>
          <w:tcPr>
            <w:tcW w:type="dxa" w:w="1728"/>
          </w:tcPr>
          <w:p>
            <w:pPr>
              <w:jc w:val="center"/>
            </w:pPr>
            <w:r>
              <w:rPr>
                <w:sz w:val="18"/>
              </w:rPr>
              <w:t>35.9</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10.5</w:t>
            </w:r>
          </w:p>
        </w:tc>
        <w:tc>
          <w:tcPr>
            <w:tcW w:type="dxa" w:w="1728"/>
          </w:tcPr>
          <w:p>
            <w:pPr>
              <w:jc w:val="center"/>
            </w:pPr>
            <w:r>
              <w:rPr>
                <w:sz w:val="18"/>
              </w:rPr>
              <w:t>33.4</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10.9</w:t>
            </w:r>
          </w:p>
        </w:tc>
        <w:tc>
          <w:tcPr>
            <w:tcW w:type="dxa" w:w="1728"/>
          </w:tcPr>
          <w:p>
            <w:pPr>
              <w:jc w:val="center"/>
            </w:pPr>
            <w:r>
              <w:rPr>
                <w:sz w:val="18"/>
              </w:rPr>
              <w:t>31.8</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23.1</w:t>
            </w:r>
          </w:p>
        </w:tc>
        <w:tc>
          <w:tcPr>
            <w:tcW w:type="dxa" w:w="1728"/>
          </w:tcPr>
          <w:p>
            <w:pPr>
              <w:jc w:val="center"/>
            </w:pPr>
            <w:r>
              <w:rPr>
                <w:sz w:val="18"/>
              </w:rPr>
              <w:t>46.4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25.2</w:t>
            </w:r>
          </w:p>
        </w:tc>
        <w:tc>
          <w:tcPr>
            <w:tcW w:type="dxa" w:w="1728"/>
          </w:tcPr>
          <w:p>
            <w:pPr>
              <w:jc w:val="center"/>
            </w:pPr>
            <w:r>
              <w:rPr>
                <w:sz w:val="18"/>
              </w:rPr>
              <w:t>47.9</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8.6</w:t>
            </w:r>
          </w:p>
        </w:tc>
        <w:tc>
          <w:tcPr>
            <w:tcW w:type="dxa" w:w="1728"/>
          </w:tcPr>
          <w:p>
            <w:pPr>
              <w:jc w:val="center"/>
            </w:pPr>
            <w:r>
              <w:rPr>
                <w:sz w:val="18"/>
              </w:rPr>
              <w:t>20.3</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15.0</w:t>
            </w:r>
          </w:p>
        </w:tc>
        <w:tc>
          <w:tcPr>
            <w:tcW w:type="dxa" w:w="1728"/>
          </w:tcPr>
          <w:p>
            <w:pPr>
              <w:jc w:val="center"/>
            </w:pPr>
            <w:r>
              <w:rPr>
                <w:sz w:val="18"/>
              </w:rPr>
              <w:t>36.4</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11.0</w:t>
            </w:r>
          </w:p>
        </w:tc>
        <w:tc>
          <w:tcPr>
            <w:tcW w:type="dxa" w:w="1728"/>
          </w:tcPr>
          <w:p>
            <w:pPr>
              <w:jc w:val="center"/>
            </w:pPr>
            <w:r>
              <w:rPr>
                <w:sz w:val="18"/>
              </w:rPr>
              <w:t>39.1</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7.4</w:t>
            </w:r>
          </w:p>
        </w:tc>
        <w:tc>
          <w:tcPr>
            <w:tcW w:type="dxa" w:w="1728"/>
          </w:tcPr>
          <w:p>
            <w:pPr>
              <w:jc w:val="center"/>
            </w:pPr>
            <w:r>
              <w:rPr>
                <w:sz w:val="18"/>
              </w:rPr>
              <w:t>36.0</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18.8</w:t>
            </w:r>
          </w:p>
        </w:tc>
        <w:tc>
          <w:tcPr>
            <w:tcW w:type="dxa" w:w="1728"/>
          </w:tcPr>
          <w:p>
            <w:pPr>
              <w:jc w:val="center"/>
            </w:pPr>
            <w:r>
              <w:rPr>
                <w:sz w:val="18"/>
              </w:rPr>
              <w:t>68.3</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15.1</w:t>
            </w:r>
          </w:p>
        </w:tc>
        <w:tc>
          <w:tcPr>
            <w:tcW w:type="dxa" w:w="1728"/>
          </w:tcPr>
          <w:p>
            <w:pPr>
              <w:jc w:val="center"/>
            </w:pPr>
            <w:r>
              <w:rPr>
                <w:sz w:val="18"/>
              </w:rPr>
              <w:t>49.0</w:t>
            </w:r>
          </w:p>
        </w:tc>
      </w:tr>
    </w:tbl>
    <w:p/>
    <w:p>
      <w:r>
        <w:br w:type="page"/>
      </w:r>
    </w:p>
    <w:p>
      <w:pPr>
        <w:pStyle w:val="Heading2"/>
      </w:pPr>
      <w:r>
        <w:t>5.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5.1 CDR3 Length by Disease Category</w:t>
      </w:r>
    </w:p>
    <w:p>
      <w:r>
        <w:t>Figure 24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jc w:val="center"/>
      </w:pPr>
      <w:r>
        <w:drawing>
          <wp:inline xmlns:a="http://schemas.openxmlformats.org/drawingml/2006/main" xmlns:pic="http://schemas.openxmlformats.org/drawingml/2006/picture">
            <wp:extent cx="5943600" cy="3241964"/>
            <wp:docPr id="24" name="Picture 24"/>
            <wp:cNvGraphicFramePr>
              <a:graphicFrameLocks noChangeAspect="1"/>
            </wp:cNvGraphicFramePr>
            <a:graphic>
              <a:graphicData uri="http://schemas.openxmlformats.org/drawingml/2006/picture">
                <pic:pic>
                  <pic:nvPicPr>
                    <pic:cNvPr id="0" name="12_cdr3_length_by_disease.png"/>
                    <pic:cNvPicPr/>
                  </pic:nvPicPr>
                  <pic:blipFill>
                    <a:blip r:embed="rId32"/>
                    <a:stretch>
                      <a:fillRect/>
                    </a:stretch>
                  </pic:blipFill>
                  <pic:spPr>
                    <a:xfrm>
                      <a:off x="0" y="0"/>
                      <a:ext cx="5943600" cy="3241964"/>
                    </a:xfrm>
                    <a:prstGeom prst="rect"/>
                  </pic:spPr>
                </pic:pic>
              </a:graphicData>
            </a:graphic>
          </wp:inline>
        </w:drawing>
      </w:r>
    </w:p>
    <w:p>
      <w:pPr>
        <w:jc w:val="center"/>
      </w:pPr>
      <w:r>
        <w:rPr>
          <w:i/>
          <w:sz w:val="20"/>
        </w:rPr>
        <w:t>Figure 24. Average CDR3 amino acid length per subject for Top 10 (red), Top 100 (orange), and Top 1000 (green) expanded clones, faceted by disease category (columns) and clone tier (rows). Subjects sorted by Top 10 CDR3 length.</w:t>
      </w:r>
    </w:p>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c>
          <w:tcPr>
            <w:tcW w:type="dxa" w:w="1728"/>
          </w:tcPr>
          <w:p>
            <w:pPr>
              <w:jc w:val="center"/>
            </w:pPr>
            <w:r>
              <w:rPr>
                <w:b/>
                <w:sz w:val="18"/>
              </w:rPr>
              <w:t>Top 1000 (AA)</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17.7</w:t>
            </w:r>
          </w:p>
        </w:tc>
        <w:tc>
          <w:tcPr>
            <w:tcW w:type="dxa" w:w="1728"/>
          </w:tcPr>
          <w:p>
            <w:pPr>
              <w:jc w:val="center"/>
            </w:pPr>
            <w:r>
              <w:rPr>
                <w:sz w:val="18"/>
              </w:rPr>
              <w:t>17.0</w:t>
            </w:r>
          </w:p>
        </w:tc>
        <w:tc>
          <w:tcPr>
            <w:tcW w:type="dxa" w:w="1728"/>
          </w:tcPr>
          <w:p>
            <w:pPr>
              <w:jc w:val="center"/>
            </w:pPr>
            <w:r>
              <w:rPr>
                <w:sz w:val="18"/>
              </w:rPr>
              <w:t>17.1</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16.3</w:t>
            </w:r>
          </w:p>
        </w:tc>
        <w:tc>
          <w:tcPr>
            <w:tcW w:type="dxa" w:w="1728"/>
          </w:tcPr>
          <w:p>
            <w:pPr>
              <w:jc w:val="center"/>
            </w:pPr>
            <w:r>
              <w:rPr>
                <w:sz w:val="18"/>
              </w:rPr>
              <w:t>16.9</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17.3</w:t>
            </w:r>
          </w:p>
        </w:tc>
        <w:tc>
          <w:tcPr>
            <w:tcW w:type="dxa" w:w="1728"/>
          </w:tcPr>
          <w:p>
            <w:pPr>
              <w:jc w:val="center"/>
            </w:pPr>
            <w:r>
              <w:rPr>
                <w:sz w:val="18"/>
              </w:rPr>
              <w:t>17.2</w:t>
            </w:r>
          </w:p>
        </w:tc>
        <w:tc>
          <w:tcPr>
            <w:tcW w:type="dxa" w:w="1728"/>
          </w:tcPr>
          <w:p>
            <w:pPr>
              <w:jc w:val="center"/>
            </w:pPr>
            <w:r>
              <w:rPr>
                <w:sz w:val="18"/>
              </w:rPr>
              <w:t>17.4</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16.3</w:t>
            </w:r>
          </w:p>
        </w:tc>
        <w:tc>
          <w:tcPr>
            <w:tcW w:type="dxa" w:w="1728"/>
          </w:tcPr>
          <w:p>
            <w:pPr>
              <w:jc w:val="center"/>
            </w:pPr>
            <w:r>
              <w:rPr>
                <w:sz w:val="18"/>
              </w:rPr>
              <w:t>16.6</w:t>
            </w:r>
          </w:p>
        </w:tc>
        <w:tc>
          <w:tcPr>
            <w:tcW w:type="dxa" w:w="1728"/>
          </w:tcPr>
          <w:p>
            <w:pPr>
              <w:jc w:val="center"/>
            </w:pPr>
            <w:r>
              <w:rPr>
                <w:sz w:val="18"/>
              </w:rPr>
              <w:t>17.0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15.8</w:t>
            </w:r>
          </w:p>
        </w:tc>
        <w:tc>
          <w:tcPr>
            <w:tcW w:type="dxa" w:w="1728"/>
          </w:tcPr>
          <w:p>
            <w:pPr>
              <w:jc w:val="center"/>
            </w:pPr>
            <w:r>
              <w:rPr>
                <w:sz w:val="18"/>
              </w:rPr>
              <w:t>16.6</w:t>
            </w:r>
          </w:p>
        </w:tc>
        <w:tc>
          <w:tcPr>
            <w:tcW w:type="dxa" w:w="1728"/>
          </w:tcPr>
          <w:p>
            <w:pPr>
              <w:jc w:val="center"/>
            </w:pPr>
            <w:r>
              <w:rPr>
                <w:sz w:val="18"/>
              </w:rPr>
              <w:t>16.9</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13.8</w:t>
            </w:r>
          </w:p>
        </w:tc>
        <w:tc>
          <w:tcPr>
            <w:tcW w:type="dxa" w:w="1728"/>
          </w:tcPr>
          <w:p>
            <w:pPr>
              <w:jc w:val="center"/>
            </w:pPr>
            <w:r>
              <w:rPr>
                <w:sz w:val="18"/>
              </w:rPr>
              <w:t>14.6</w:t>
            </w:r>
          </w:p>
        </w:tc>
        <w:tc>
          <w:tcPr>
            <w:tcW w:type="dxa" w:w="1728"/>
          </w:tcPr>
          <w:p>
            <w:pPr>
              <w:jc w:val="center"/>
            </w:pPr>
            <w:r>
              <w:rPr>
                <w:sz w:val="18"/>
              </w:rPr>
              <w:t>16.1</w:t>
            </w:r>
          </w:p>
        </w:tc>
      </w:tr>
    </w:tbl>
    <w:p/>
    <w:p>
      <w:pPr>
        <w:pStyle w:val="Heading3"/>
      </w:pPr>
      <w:r>
        <w:t>5.2 CDR3 Length by Age and Disease</w:t>
      </w:r>
    </w:p>
    <w:p>
      <w:r>
        <w:t>Figure 25 shows CDR3 AA length distributions stratified by age group within each disease category.</w:t>
      </w:r>
    </w:p>
    <w:p>
      <w:pPr>
        <w:jc w:val="center"/>
      </w:pPr>
      <w:r>
        <w:drawing>
          <wp:inline xmlns:a="http://schemas.openxmlformats.org/drawingml/2006/main" xmlns:pic="http://schemas.openxmlformats.org/drawingml/2006/picture">
            <wp:extent cx="5943600" cy="2228850"/>
            <wp:docPr id="25" name="Picture 25"/>
            <wp:cNvGraphicFramePr>
              <a:graphicFrameLocks noChangeAspect="1"/>
            </wp:cNvGraphicFramePr>
            <a:graphic>
              <a:graphicData uri="http://schemas.openxmlformats.org/drawingml/2006/picture">
                <pic:pic>
                  <pic:nvPicPr>
                    <pic:cNvPr id="0" name="13_cdr3_length_by_age_disease.png"/>
                    <pic:cNvPicPr/>
                  </pic:nvPicPr>
                  <pic:blipFill>
                    <a:blip r:embed="rId33"/>
                    <a:stretch>
                      <a:fillRect/>
                    </a:stretch>
                  </pic:blipFill>
                  <pic:spPr>
                    <a:xfrm>
                      <a:off x="0" y="0"/>
                      <a:ext cx="5943600" cy="2228850"/>
                    </a:xfrm>
                    <a:prstGeom prst="rect"/>
                  </pic:spPr>
                </pic:pic>
              </a:graphicData>
            </a:graphic>
          </wp:inline>
        </w:drawing>
      </w:r>
    </w:p>
    <w:p>
      <w:pPr>
        <w:jc w:val="center"/>
      </w:pPr>
      <w:r>
        <w:rPr>
          <w:i/>
          <w:sz w:val="20"/>
        </w:rPr>
        <w:t>Figure 25. Average CDR3 AA length per subject, faceted by disease category, age group (columns), and clone tier (rows).</w:t>
      </w:r>
    </w:p>
    <w:p/>
    <w:p>
      <w:pPr>
        <w:pStyle w:val="Heading3"/>
      </w:pPr>
      <w:r>
        <w:t>5.3 CDR3 Length by Sex and Disease</w:t>
      </w:r>
    </w:p>
    <w:p>
      <w:r>
        <w:t>Figure 26 presents CDR3 AA length distributions by sex within each disease category.</w:t>
      </w:r>
    </w:p>
    <w:p>
      <w:pPr>
        <w:jc w:val="center"/>
      </w:pPr>
      <w:r>
        <w:drawing>
          <wp:inline xmlns:a="http://schemas.openxmlformats.org/drawingml/2006/main" xmlns:pic="http://schemas.openxmlformats.org/drawingml/2006/picture">
            <wp:extent cx="5943600" cy="2547257"/>
            <wp:docPr id="26" name="Picture 26"/>
            <wp:cNvGraphicFramePr>
              <a:graphicFrameLocks noChangeAspect="1"/>
            </wp:cNvGraphicFramePr>
            <a:graphic>
              <a:graphicData uri="http://schemas.openxmlformats.org/drawingml/2006/picture">
                <pic:pic>
                  <pic:nvPicPr>
                    <pic:cNvPr id="0" name="14_cdr3_length_by_sex_disease.png"/>
                    <pic:cNvPicPr/>
                  </pic:nvPicPr>
                  <pic:blipFill>
                    <a:blip r:embed="rId34"/>
                    <a:stretch>
                      <a:fillRect/>
                    </a:stretch>
                  </pic:blipFill>
                  <pic:spPr>
                    <a:xfrm>
                      <a:off x="0" y="0"/>
                      <a:ext cx="5943600" cy="2547257"/>
                    </a:xfrm>
                    <a:prstGeom prst="rect"/>
                  </pic:spPr>
                </pic:pic>
              </a:graphicData>
            </a:graphic>
          </wp:inline>
        </w:drawing>
      </w:r>
    </w:p>
    <w:p>
      <w:pPr>
        <w:jc w:val="center"/>
      </w:pPr>
      <w:r>
        <w:rPr>
          <w:i/>
          <w:sz w:val="20"/>
        </w:rPr>
        <w:t>Figure 26. Average CDR3 AA length per subject, faceted by disease category, sex (columns), and clone tier (rows).</w:t>
      </w:r>
    </w:p>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17.5</w:t>
            </w:r>
          </w:p>
        </w:tc>
        <w:tc>
          <w:tcPr>
            <w:tcW w:type="dxa" w:w="1728"/>
          </w:tcPr>
          <w:p>
            <w:pPr>
              <w:jc w:val="center"/>
            </w:pPr>
            <w:r>
              <w:rPr>
                <w:sz w:val="18"/>
              </w:rPr>
              <w:t>16.8</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17.8</w:t>
            </w:r>
          </w:p>
        </w:tc>
        <w:tc>
          <w:tcPr>
            <w:tcW w:type="dxa" w:w="1728"/>
          </w:tcPr>
          <w:p>
            <w:pPr>
              <w:jc w:val="center"/>
            </w:pPr>
            <w:r>
              <w:rPr>
                <w:sz w:val="18"/>
              </w:rPr>
              <w:t>17.5</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16.3</w:t>
            </w:r>
          </w:p>
        </w:tc>
        <w:tc>
          <w:tcPr>
            <w:tcW w:type="dxa" w:w="1728"/>
          </w:tcPr>
          <w:p>
            <w:pPr>
              <w:jc w:val="center"/>
            </w:pPr>
            <w:r>
              <w:rPr>
                <w:sz w:val="18"/>
              </w:rPr>
              <w:t>16.9</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16.5</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17.8</w:t>
            </w:r>
          </w:p>
        </w:tc>
        <w:tc>
          <w:tcPr>
            <w:tcW w:type="dxa" w:w="1728"/>
          </w:tcPr>
          <w:p>
            <w:pPr>
              <w:jc w:val="center"/>
            </w:pPr>
            <w:r>
              <w:rPr>
                <w:sz w:val="18"/>
              </w:rPr>
              <w:t>17.4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17.0</w:t>
            </w:r>
          </w:p>
        </w:tc>
        <w:tc>
          <w:tcPr>
            <w:tcW w:type="dxa" w:w="1728"/>
          </w:tcPr>
          <w:p>
            <w:pPr>
              <w:jc w:val="center"/>
            </w:pPr>
            <w:r>
              <w:rPr>
                <w:sz w:val="18"/>
              </w:rPr>
              <w:t>17.2</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15.1</w:t>
            </w:r>
          </w:p>
        </w:tc>
        <w:tc>
          <w:tcPr>
            <w:tcW w:type="dxa" w:w="1728"/>
          </w:tcPr>
          <w:p>
            <w:pPr>
              <w:jc w:val="center"/>
            </w:pPr>
            <w:r>
              <w:rPr>
                <w:sz w:val="18"/>
              </w:rPr>
              <w:t>16.5</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14.6</w:t>
            </w:r>
          </w:p>
        </w:tc>
        <w:tc>
          <w:tcPr>
            <w:tcW w:type="dxa" w:w="1728"/>
          </w:tcPr>
          <w:p>
            <w:pPr>
              <w:jc w:val="center"/>
            </w:pPr>
            <w:r>
              <w:rPr>
                <w:sz w:val="18"/>
              </w:rPr>
              <w:t>16.5</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12.8</w:t>
            </w:r>
          </w:p>
        </w:tc>
        <w:tc>
          <w:tcPr>
            <w:tcW w:type="dxa" w:w="1728"/>
          </w:tcPr>
          <w:p>
            <w:pPr>
              <w:jc w:val="center"/>
            </w:pPr>
            <w:r>
              <w:rPr>
                <w:sz w:val="18"/>
              </w:rPr>
              <w:t>14.0</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14.5</w:t>
            </w:r>
          </w:p>
        </w:tc>
        <w:tc>
          <w:tcPr>
            <w:tcW w:type="dxa" w:w="1728"/>
          </w:tcPr>
          <w:p>
            <w:pPr>
              <w:jc w:val="center"/>
            </w:pPr>
            <w:r>
              <w:rPr>
                <w:sz w:val="18"/>
              </w:rPr>
              <w:t>14.9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