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9.png" ContentType="image/png"/>
  <Override PartName="/word/media/rId102.png" ContentType="image/png"/>
  <Override PartName="/word/media/rId109.png" ContentType="image/png"/>
  <Override PartName="/word/media/rId112.png" ContentType="image/png"/>
  <Override PartName="/word/media/rId115.png" ContentType="image/png"/>
  <Override PartName="/word/media/rId118.png" ContentType="image/png"/>
  <Override PartName="/word/media/rId92.png" ContentType="image/png"/>
  <Override PartName="/word/media/rId95.png" ContentType="image/png"/>
  <Override PartName="/word/media/rId85.png" ContentType="image/png"/>
  <Override PartName="/word/media/rId136.png" ContentType="image/png"/>
  <Override PartName="/word/media/rId139.png" ContentType="image/png"/>
  <Override PartName="/word/media/rId143.png" ContentType="image/png"/>
  <Override PartName="/word/media/rId146.png" ContentType="image/png"/>
  <Override PartName="/word/media/rId149.png" ContentType="image/png"/>
  <Override PartName="/word/media/rId69.png" ContentType="image/png"/>
  <Override PartName="/word/media/rId72.png" ContentType="image/png"/>
  <Override PartName="/word/media/rId76.png" ContentType="image/png"/>
  <Override PartName="/word/media/rId79.png" ContentType="image/png"/>
  <Override PartName="/word/media/rId121.png" ContentType="image/png"/>
  <Override PartName="/word/media/rId105.png" ContentType="image/png"/>
  <Override PartName="/word/media/rId125.png" ContentType="image/png"/>
  <Override PartName="/word/media/rId129.png" ContentType="image/png"/>
  <Override PartName="/word/media/rId132.png" ContentType="image/png"/>
  <Override PartName="/word/media/rId82.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Clonal diversity by disease stage (Hill numbers).</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Expanded clone count at three expansion thresholds by disease stage.</w:t>
      </w:r>
    </w:p>
    <w:p>
      <w:pPr>
        <w:pStyle w:val="BodyText"/>
      </w:pPr>
      <w:r>
        <w:rPr>
          <w:bCs/>
          <w:b/>
        </w:rPr>
        <w:t xml:space="preserve">Figure 4.</w:t>
      </w:r>
      <w:r>
        <w:t xml:space="preserve"> </w:t>
      </w:r>
      <w:r>
        <w:t xml:space="preserve">Clone size distribution by disease stage.</w:t>
      </w:r>
    </w:p>
    <w:p>
      <w:pPr>
        <w:pStyle w:val="BodyText"/>
      </w:pPr>
      <w:r>
        <w:rPr>
          <w:bCs/>
          <w:b/>
        </w:rPr>
        <w:t xml:space="preserve">Figure 5.</w:t>
      </w:r>
      <w:r>
        <w:t xml:space="preserve"> </w:t>
      </w:r>
      <w:r>
        <w:t xml:space="preserve">Clone size: copies versus unique sequences by disease stage.</w:t>
      </w:r>
    </w:p>
    <w:p>
      <w:pPr>
        <w:pStyle w:val="BodyText"/>
      </w:pPr>
      <w:r>
        <w:rPr>
          <w:bCs/>
          <w:b/>
        </w:rPr>
        <w:t xml:space="preserve">Figure 6.</w:t>
      </w:r>
      <w:r>
        <w:t xml:space="preserve"> </w:t>
      </w:r>
      <w:r>
        <w:t xml:space="preserve">Mean size of expanded clones by disease stage.</w:t>
      </w:r>
    </w:p>
    <w:p>
      <w:pPr>
        <w:pStyle w:val="BodyText"/>
      </w:pPr>
      <w:r>
        <w:rPr>
          <w:bCs/>
          <w:b/>
        </w:rPr>
        <w:t xml:space="preserve">Figure 7.</w:t>
      </w:r>
      <w:r>
        <w:t xml:space="preserve"> </w:t>
      </w:r>
      <w:r>
        <w:t xml:space="preserve">Clonal concentration (Top X) by disease stage.</w:t>
      </w:r>
    </w:p>
    <w:p>
      <w:pPr>
        <w:pStyle w:val="BodyText"/>
      </w:pPr>
      <w:r>
        <w:rPr>
          <w:bCs/>
          <w:b/>
        </w:rPr>
        <w:t xml:space="preserve">Figure 8.</w:t>
      </w:r>
      <w:r>
        <w:t xml:space="preserve"> </w:t>
      </w:r>
      <w:r>
        <w:t xml:space="preserve">CDR3 length by clone size and disease stage (expanded vs. rest).</w:t>
      </w:r>
    </w:p>
    <w:p>
      <w:pPr>
        <w:pStyle w:val="BodyText"/>
      </w:pPr>
      <w:r>
        <w:rPr>
          <w:bCs/>
          <w:b/>
        </w:rPr>
        <w:t xml:space="preserve">Figure 9.</w:t>
      </w:r>
      <w:r>
        <w:t xml:space="preserve"> </w:t>
      </w:r>
      <w:r>
        <w:t xml:space="preserve">Mutation profile by clone size and disease stage (expanded vs. rest).</w:t>
      </w:r>
    </w:p>
    <w:p>
      <w:pPr>
        <w:pStyle w:val="BodyText"/>
      </w:pPr>
      <w:r>
        <w:rPr>
          <w:bCs/>
          <w:b/>
        </w:rPr>
        <w:t xml:space="preserve">Figure 10.</w:t>
      </w:r>
      <w:r>
        <w:t xml:space="preserve"> </w:t>
      </w:r>
      <w:r>
        <w:t xml:space="preserve">CDR3 length of top 10 clones by disease stage.</w:t>
      </w:r>
    </w:p>
    <w:p>
      <w:pPr>
        <w:pStyle w:val="BodyText"/>
      </w:pPr>
      <w:r>
        <w:rPr>
          <w:bCs/>
          <w:b/>
        </w:rPr>
        <w:t xml:space="preserve">Figure 11.</w:t>
      </w:r>
      <w:r>
        <w:t xml:space="preserve"> </w:t>
      </w:r>
      <w:r>
        <w:t xml:space="preserve">CDR3 length range of top 10 clones by disease stage.</w:t>
      </w:r>
    </w:p>
    <w:p>
      <w:pPr>
        <w:pStyle w:val="BodyText"/>
      </w:pPr>
      <w:r>
        <w:rPr>
          <w:bCs/>
          <w:b/>
        </w:rPr>
        <w:t xml:space="preserve">Figure 12.</w:t>
      </w:r>
      <w:r>
        <w:t xml:space="preserve"> </w:t>
      </w:r>
      <w:r>
        <w:t xml:space="preserve">CDR3 length distribution across all clones by disease stage.</w:t>
      </w:r>
    </w:p>
    <w:p>
      <w:pPr>
        <w:pStyle w:val="BodyText"/>
      </w:pPr>
      <w:r>
        <w:rPr>
          <w:bCs/>
          <w:b/>
        </w:rPr>
        <w:t xml:space="preserve">Figure 13.</w:t>
      </w:r>
      <w:r>
        <w:t xml:space="preserve"> </w:t>
      </w:r>
      <w:r>
        <w:t xml:space="preserve">Total somatic hypermutation in top 10 clones by disease stage.</w:t>
      </w:r>
    </w:p>
    <w:p>
      <w:pPr>
        <w:pStyle w:val="BodyText"/>
      </w:pPr>
      <w:r>
        <w:rPr>
          <w:bCs/>
          <w:b/>
        </w:rPr>
        <w:t xml:space="preserve">Figure 14.</w:t>
      </w:r>
      <w:r>
        <w:t xml:space="preserve"> </w:t>
      </w:r>
      <w:r>
        <w:t xml:space="preserve">Mutation gradient across clone size ranks by disease stage.</w:t>
      </w:r>
    </w:p>
    <w:p>
      <w:pPr>
        <w:pStyle w:val="BodyText"/>
      </w:pPr>
      <w:r>
        <w:rPr>
          <w:bCs/>
          <w:b/>
        </w:rPr>
        <w:t xml:space="preserve">Figure 15.</w:t>
      </w:r>
      <w:r>
        <w:t xml:space="preserve"> </w:t>
      </w:r>
      <w:r>
        <w:t xml:space="preserve">CDR and FW region-specific mutation counts by disease stage.</w:t>
      </w:r>
    </w:p>
    <w:p>
      <w:pPr>
        <w:pStyle w:val="BodyText"/>
      </w:pPr>
      <w:r>
        <w:rPr>
          <w:bCs/>
          <w:b/>
        </w:rPr>
        <w:t xml:space="preserve">Figure 16.</w:t>
      </w:r>
      <w:r>
        <w:t xml:space="preserve"> </w:t>
      </w:r>
      <w:r>
        <w:t xml:space="preserve">NS/S ratio overview by disease stage.</w:t>
      </w:r>
    </w:p>
    <w:p>
      <w:pPr>
        <w:pStyle w:val="BodyText"/>
      </w:pPr>
      <w:r>
        <w:rPr>
          <w:bCs/>
          <w:b/>
        </w:rPr>
        <w:t xml:space="preserve">Figure 17.</w:t>
      </w:r>
      <w:r>
        <w:t xml:space="preserve"> </w:t>
      </w:r>
      <w:r>
        <w:t xml:space="preserve">NS/S ratio by region and disease stage.</w:t>
      </w:r>
    </w:p>
    <w:p>
      <w:pPr>
        <w:pStyle w:val="BodyText"/>
      </w:pPr>
      <w:r>
        <w:rPr>
          <w:bCs/>
          <w:b/>
        </w:rPr>
        <w:t xml:space="preserve">Figure 18.</w:t>
      </w:r>
      <w:r>
        <w:t xml:space="preserve"> </w:t>
      </w:r>
      <w:r>
        <w:t xml:space="preserve">V gene usage heatmap by disease stage.</w:t>
      </w:r>
    </w:p>
    <w:p>
      <w:pPr>
        <w:pStyle w:val="BodyText"/>
      </w:pPr>
      <w:r>
        <w:rPr>
          <w:bCs/>
          <w:b/>
        </w:rPr>
        <w:t xml:space="preserve">Figure 19.</w:t>
      </w:r>
      <w:r>
        <w:t xml:space="preserve"> </w:t>
      </w:r>
      <w:r>
        <w:t xml:space="preserve">Clonal metrics versus age by disease stage.</w:t>
      </w:r>
    </w:p>
    <w:p>
      <w:pPr>
        <w:pStyle w:val="BodyText"/>
      </w:pPr>
      <w:r>
        <w:rPr>
          <w:bCs/>
          <w:b/>
        </w:rPr>
        <w:t xml:space="preserve">Figure 20.</w:t>
      </w:r>
      <w:r>
        <w:t xml:space="preserve"> </w:t>
      </w:r>
      <w:r>
        <w:t xml:space="preserve">Clonal metrics by gender and disease stage.</w:t>
      </w:r>
    </w:p>
    <w:p>
      <w:pPr>
        <w:pStyle w:val="BodyText"/>
      </w:pPr>
      <w:r>
        <w:rPr>
          <w:bCs/>
          <w:b/>
        </w:rPr>
        <w:t xml:space="preserve">Figure 21.</w:t>
      </w:r>
      <w:r>
        <w:t xml:space="preserve"> </w:t>
      </w:r>
      <w:r>
        <w:t xml:space="preserve">Mutation level in top 10 clones stratified by sex and disease stage.</w:t>
      </w:r>
    </w:p>
    <w:p>
      <w:pPr>
        <w:pStyle w:val="BodyText"/>
      </w:pPr>
      <w:r>
        <w:rPr>
          <w:bCs/>
          <w:b/>
        </w:rPr>
        <w:t xml:space="preserve">Figure 22.</w:t>
      </w:r>
      <w:r>
        <w:t xml:space="preserve"> </w:t>
      </w:r>
      <w:r>
        <w:t xml:space="preserve">CDR3 length in top 10 clones stratified by sex and disease stage.</w:t>
      </w:r>
    </w:p>
    <w:p>
      <w:pPr>
        <w:pStyle w:val="BodyText"/>
      </w:pPr>
      <w:r>
        <w:rPr>
          <w:bCs/>
          <w:b/>
        </w:rPr>
        <w:t xml:space="preserve">Figure 23.</w:t>
      </w:r>
      <w:r>
        <w:t xml:space="preserve"> </w:t>
      </w:r>
      <w:r>
        <w:t xml:space="preserve">Within-individual clone count across tissues.</w:t>
      </w:r>
    </w:p>
    <w:p>
      <w:pPr>
        <w:pStyle w:val="BodyText"/>
      </w:pPr>
      <w:r>
        <w:rPr>
          <w:bCs/>
          <w:b/>
        </w:rPr>
        <w:t xml:space="preserve">Figure 24.</w:t>
      </w:r>
      <w:r>
        <w:t xml:space="preserve"> </w:t>
      </w:r>
      <w:r>
        <w:t xml:space="preserve">Within-individual clone size across tissues.</w:t>
      </w:r>
    </w:p>
    <w:p>
      <w:pPr>
        <w:pStyle w:val="BodyText"/>
      </w:pPr>
      <w:r>
        <w:rPr>
          <w:bCs/>
          <w:b/>
        </w:rPr>
        <w:t xml:space="preserve">Figure 25.</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3"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w:t>
      </w:r>
      <w:r>
        <w:rPr>
          <w:bCs/>
          <w:b/>
        </w:rPr>
        <w:t xml:space="preserve">Figure 1</w:t>
      </w:r>
      <w:r>
        <w:t xml:space="preserve">).</w:t>
      </w:r>
    </w:p>
    <w:p>
      <w:pPr>
        <w:pStyle w:val="CaptionedFigure"/>
      </w:pPr>
      <w:r>
        <w:drawing>
          <wp:inline>
            <wp:extent cx="5334000" cy="1845482"/>
            <wp:effectExtent b="0" l="0" r="0" t="0"/>
            <wp:docPr descr="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0" name="Picture"/>
            <a:graphic>
              <a:graphicData uri="http://schemas.openxmlformats.org/drawingml/2006/picture">
                <pic:pic>
                  <pic:nvPicPr>
                    <pic:cNvPr descr="../immunedb_STATS_API/clonal_analysis/plots/17_diversity_hill_numbers.png" id="71" name="Picture"/>
                    <pic:cNvPicPr>
                      <a:picLocks noChangeArrowheads="1" noChangeAspect="1"/>
                    </pic:cNvPicPr>
                  </pic:nvPicPr>
                  <pic:blipFill>
                    <a:blip r:embed="rId69"/>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2</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91"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3</w:t>
      </w:r>
      <w:r>
        <w:t xml:space="preserve">).</w:t>
      </w:r>
    </w:p>
    <w:p>
      <w:pPr>
        <w:pStyle w:val="CaptionedFigure"/>
      </w:pPr>
      <w:r>
        <w:drawing>
          <wp:inline>
            <wp:extent cx="5334000" cy="1757149"/>
            <wp:effectExtent b="0" l="0" r="0" t="0"/>
            <wp:docPr descr="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7" name="Picture"/>
            <a:graphic>
              <a:graphicData uri="http://schemas.openxmlformats.org/drawingml/2006/picture">
                <pic:pic>
                  <pic:nvPicPr>
                    <pic:cNvPr descr="../immunedb_STATS_API/clonal_analysis/plots/19_expanded_clones_threshold.png" id="78" name="Picture"/>
                    <pic:cNvPicPr>
                      <a:picLocks noChangeArrowheads="1" noChangeAspect="1"/>
                    </pic:cNvPicPr>
                  </pic:nvPicPr>
                  <pic:blipFill>
                    <a:blip r:embed="rId7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3.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4</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0" name="Picture"/>
            <a:graphic>
              <a:graphicData uri="http://schemas.openxmlformats.org/drawingml/2006/picture">
                <pic:pic>
                  <pic:nvPicPr>
                    <pic:cNvPr descr="../immunedb_STATS_API/clonal_analysis/plots/20_clone_size_distribution.png" id="81" name="Picture"/>
                    <pic:cNvPicPr>
                      <a:picLocks noChangeArrowheads="1" noChangeAspect="1"/>
                    </pic:cNvPicPr>
                  </pic:nvPicPr>
                  <pic:blipFill>
                    <a:blip r:embed="rId7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4.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5</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3" name="Picture"/>
            <a:graphic>
              <a:graphicData uri="http://schemas.openxmlformats.org/drawingml/2006/picture">
                <pic:pic>
                  <pic:nvPicPr>
                    <pic:cNvPr descr="../immunedb_STATS_API/clonal_analysis/plots/26_copies_vs_unique.png" id="84" name="Picture"/>
                    <pic:cNvPicPr>
                      <a:picLocks noChangeArrowheads="1" noChangeAspect="1"/>
                    </pic:cNvPicPr>
                  </pic:nvPicPr>
                  <pic:blipFill>
                    <a:blip r:embed="rId82"/>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5.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6</w:t>
      </w:r>
      <w:r>
        <w:t xml:space="preserve">).</w:t>
      </w:r>
    </w:p>
    <w:p>
      <w:pPr>
        <w:pStyle w:val="CaptionedFigure"/>
      </w:pPr>
      <w:r>
        <w:drawing>
          <wp:inline>
            <wp:extent cx="5334000" cy="3556000"/>
            <wp:effectExtent b="0" l="0" r="0" t="0"/>
            <wp:docPr descr="Figure 6. Mean size of expanded clones by disease stage. Each dot represents the mean number of unique sequences across expanded clones for one individual; boxplots show median and IQR. Reflects the magnitude of clonal expansion in each disease category." title="" id="86" name="Picture"/>
            <a:graphic>
              <a:graphicData uri="http://schemas.openxmlformats.org/drawingml/2006/picture">
                <pic:pic>
                  <pic:nvPicPr>
                    <pic:cNvPr descr="../immunedb_STATS_API/clonal_analysis/plots/11_expanded_clone_size_by_disease.png" id="87"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7</w:t>
      </w:r>
      <w:r>
        <w:t xml:space="preserve">), revealing the degree of oligoclonal dominance in each disease category.</w:t>
      </w:r>
    </w:p>
    <w:p>
      <w:pPr>
        <w:pStyle w:val="CaptionedFigure"/>
      </w:pPr>
      <w:r>
        <w:drawing>
          <wp:inline>
            <wp:extent cx="5334000" cy="2667000"/>
            <wp:effectExtent b="0" l="0" r="0" t="0"/>
            <wp:docPr descr="Figure 7. Clonal concentration: fraction of total sequence copies accounted for by the top 10, top 100, and top 1000 clones per individual, shown as stacked bars by disease stage. Higher values indicate greater oligoclonal dominance. Each bar represents one individual." title="" id="89" name="Picture"/>
            <a:graphic>
              <a:graphicData uri="http://schemas.openxmlformats.org/drawingml/2006/picture">
                <pic:pic>
                  <pic:nvPicPr>
                    <pic:cNvPr descr="../immunedb_STATS_API/clonal_analysis/plots/02_topX_stacked_by_disease.png" id="90" name="Picture"/>
                    <pic:cNvPicPr>
                      <a:picLocks noChangeArrowheads="1" noChangeAspect="1"/>
                    </pic:cNvPicPr>
                  </pic:nvPicPr>
                  <pic:blipFill>
                    <a:blip r:embed="rId8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7. Clonal concentration: fraction of total sequence copies accounted for by the top 10, top 100, and top 1000 clones per individual, shown as stacked bars by disease stage. Higher values indicate greater oligoclonal dominance. Each bar represents one individual.</w:t>
      </w:r>
    </w:p>
    <w:bookmarkEnd w:id="91"/>
    <w:bookmarkStart w:id="98"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3</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8</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3" name="Picture"/>
            <a:graphic>
              <a:graphicData uri="http://schemas.openxmlformats.org/drawingml/2006/picture">
                <pic:pic>
                  <pic:nvPicPr>
                    <pic:cNvPr descr="../immunedb_STATS_API/clonal_analysis/plots/09_cdr3_expanded_vs_rest.png" id="94" name="Picture"/>
                    <pic:cNvPicPr>
                      <a:picLocks noChangeArrowheads="1" noChangeAspect="1"/>
                    </pic:cNvPicPr>
                  </pic:nvPicPr>
                  <pic:blipFill>
                    <a:blip r:embed="rId92"/>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8.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9</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6" name="Picture"/>
            <a:graphic>
              <a:graphicData uri="http://schemas.openxmlformats.org/drawingml/2006/picture">
                <pic:pic>
                  <pic:nvPicPr>
                    <pic:cNvPr descr="../immunedb_STATS_API/clonal_analysis/plots/10_mutations_expanded_vs_rest.png" id="97" name="Picture"/>
                    <pic:cNvPicPr>
                      <a:picLocks noChangeArrowheads="1" noChangeAspect="1"/>
                    </pic:cNvPicPr>
                  </pic:nvPicPr>
                  <pic:blipFill>
                    <a:blip r:embed="rId95"/>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9.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8"/>
    <w:bookmarkStart w:id="108"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10</w:t>
      </w:r>
      <w:r>
        <w:t xml:space="preserve">), along with the range of CDR3 lengths (</w:t>
      </w:r>
      <w:r>
        <w:rPr>
          <w:bCs/>
          <w:b/>
        </w:rPr>
        <w:t xml:space="preserve">Figure 11</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0. Mean CDR3 amino acid length of the top 10 clones per individual, grouped by disease stage. Each dot represents one individual; boxplots show median and IQR. CDR3 length reflects the antigen-binding loop size of the most expanded clones." title="" id="100" name="Picture"/>
            <a:graphic>
              <a:graphicData uri="http://schemas.openxmlformats.org/drawingml/2006/picture">
                <pic:pic>
                  <pic:nvPicPr>
                    <pic:cNvPr descr="../immunedb_STATS_API/clonal_analysis/plots/03_cdr3_by_disease.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1. CDR3 length range (max minus min amino acid length) of the top 10 clones per individual, grouped by disease stage. Larger ranges indicate greater CDR3 structural heterogeneity among the dominant clones." title="" id="103" name="Picture"/>
            <a:graphic>
              <a:graphicData uri="http://schemas.openxmlformats.org/drawingml/2006/picture">
                <pic:pic>
                  <pic:nvPicPr>
                    <pic:cNvPr descr="../immunedb_STATS_API/clonal_analysis/plots/04_cdr3_range_by_disease.png" id="104" name="Picture"/>
                    <pic:cNvPicPr>
                      <a:picLocks noChangeArrowheads="1" noChangeAspect="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12</w:t>
      </w:r>
      <w:r>
        <w:t xml:space="preserve">).</w:t>
      </w:r>
    </w:p>
    <w:p>
      <w:pPr>
        <w:pStyle w:val="CaptionedFigure"/>
      </w:pPr>
      <w:r>
        <w:drawing>
          <wp:inline>
            <wp:extent cx="5334000" cy="2310924"/>
            <wp:effectExtent b="0" l="0" r="0" t="0"/>
            <wp:docPr descr="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6" name="Picture"/>
            <a:graphic>
              <a:graphicData uri="http://schemas.openxmlformats.org/drawingml/2006/picture">
                <pic:pic>
                  <pic:nvPicPr>
                    <pic:cNvPr descr="../immunedb_STATS_API/clonal_analysis/plots/22_cdr3_length_distribution.png" id="107" name="Picture"/>
                    <pic:cNvPicPr>
                      <a:picLocks noChangeArrowheads="1" noChangeAspect="1"/>
                    </pic:cNvPicPr>
                  </pic:nvPicPr>
                  <pic:blipFill>
                    <a:blip r:embed="rId10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12.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8"/>
    <w:bookmarkStart w:id="124"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13</w:t>
      </w:r>
      <w:r>
        <w:t xml:space="preserve">), while the mutation gradient across clone size ranks (top 10 vs. remaining top 100 vs. remaining top 1000) revealed how mutation accumulation varies with clonal expansion (</w:t>
      </w:r>
      <w:r>
        <w:rPr>
          <w:bCs/>
          <w:b/>
        </w:rPr>
        <w:t xml:space="preserve">Figure 14</w:t>
      </w:r>
      <w:r>
        <w:t xml:space="preserve">). Region-specific queries separated CDR from framework mutations (</w:t>
      </w:r>
      <w:r>
        <w:rPr>
          <w:bCs/>
          <w:b/>
        </w:rPr>
        <w:t xml:space="preserve">Figure 15</w:t>
      </w:r>
      <w:r>
        <w:t xml:space="preserve">), and the NS/S ratio endpoint provided an overview of selection pressure across disease categories (</w:t>
      </w:r>
      <w:r>
        <w:rPr>
          <w:bCs/>
          <w:b/>
        </w:rPr>
        <w:t xml:space="preserve">Figure 16</w:t>
      </w:r>
      <w:r>
        <w:t xml:space="preserve">).</w:t>
      </w:r>
    </w:p>
    <w:p>
      <w:pPr>
        <w:pStyle w:val="CaptionedFigure"/>
      </w:pPr>
      <w:r>
        <w:drawing>
          <wp:inline>
            <wp:extent cx="5334000" cy="3048000"/>
            <wp:effectExtent b="0" l="0" r="0" t="0"/>
            <wp:docPr descr="Figure 13. Total somatic hypermutation level in the top 10 clones per individual, grouped by disease stage. Each dot represents one individual; boxplots show median and IQR. Higher values indicate greater mutation accumulation." title="" id="110" name="Picture"/>
            <a:graphic>
              <a:graphicData uri="http://schemas.openxmlformats.org/drawingml/2006/picture">
                <pic:pic>
                  <pic:nvPicPr>
                    <pic:cNvPr descr="../immunedb_STATS_API/clonal_analysis/plots/05_mutation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4. Mutation gradient across clone size ranks by disease stage. Shows average mutation counts for the top 10, remaining top 100, and remaining top 1000 clones, revealing how mutation accumulation varies with clonal expansion rank." title="" id="113" name="Picture"/>
            <a:graphic>
              <a:graphicData uri="http://schemas.openxmlformats.org/drawingml/2006/picture">
                <pic:pic>
                  <pic:nvPicPr>
                    <pic:cNvPr descr="../immunedb_STATS_API/clonal_analysis/plots/06_mutation_gradient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5. CDR and FW region-specific mutation counts by disease stage. Mutations are separated into CDR and FW regions, distinguishing antigen-contact mutations from structural mutations." title="" id="116" name="Picture"/>
            <a:graphic>
              <a:graphicData uri="http://schemas.openxmlformats.org/drawingml/2006/picture">
                <pic:pic>
                  <pic:nvPicPr>
                    <pic:cNvPr descr="../immunedb_STATS_API/clonal_analysis/plots/07_cdr_mutations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6. NS/S ratio overview by disease stage. Non-synonymous to synonymous mutation ratio for all clones per individual. Values above 1.0 indicate positive (diversifying) selection; values below 1.0 indicate purifying selection. Each dot represents one individual." title="" id="119" name="Picture"/>
            <a:graphic>
              <a:graphicData uri="http://schemas.openxmlformats.org/drawingml/2006/picture">
                <pic:pic>
                  <pic:nvPicPr>
                    <pic:cNvPr descr="../immunedb_STATS_API/clonal_analysis/plots/08_rs_ratio_by_disease.png" id="120" name="Picture"/>
                    <pic:cNvPicPr>
                      <a:picLocks noChangeArrowheads="1" noChangeAspect="1"/>
                    </pic:cNvPicPr>
                  </pic:nvPicPr>
                  <pic:blipFill>
                    <a:blip r:embed="rId11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16.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17</w:t>
      </w:r>
      <w:r>
        <w:t xml:space="preserve">).</w:t>
      </w:r>
    </w:p>
    <w:p>
      <w:pPr>
        <w:pStyle w:val="CaptionedFigure"/>
      </w:pPr>
      <w:r>
        <w:drawing>
          <wp:inline>
            <wp:extent cx="5334000" cy="1845894"/>
            <wp:effectExtent b="0" l="0" r="0" t="0"/>
            <wp:docPr descr="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2" name="Picture"/>
            <a:graphic>
              <a:graphicData uri="http://schemas.openxmlformats.org/drawingml/2006/picture">
                <pic:pic>
                  <pic:nvPicPr>
                    <pic:cNvPr descr="../immunedb_STATS_API/clonal_analysis/plots/21_mutations_rs_ratio.png" id="123" name="Picture"/>
                    <pic:cNvPicPr>
                      <a:picLocks noChangeArrowheads="1" noChangeAspect="1"/>
                    </pic:cNvPicPr>
                  </pic:nvPicPr>
                  <pic:blipFill>
                    <a:blip r:embed="rId121"/>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17.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4"/>
    <w:bookmarkStart w:id="128"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18</w:t>
      </w:r>
      <w:r>
        <w:t xml:space="preserve">).</w:t>
      </w:r>
    </w:p>
    <w:p>
      <w:pPr>
        <w:pStyle w:val="CaptionedFigure"/>
      </w:pPr>
      <w:r>
        <w:drawing>
          <wp:inline>
            <wp:extent cx="5334000" cy="2762409"/>
            <wp:effectExtent b="0" l="0" r="0" t="0"/>
            <wp:docPr descr="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6" name="Picture"/>
            <a:graphic>
              <a:graphicData uri="http://schemas.openxmlformats.org/drawingml/2006/picture">
                <pic:pic>
                  <pic:nvPicPr>
                    <pic:cNvPr descr="../immunedb_STATS_API/clonal_analysis/plots/23_v_gene_usage_heatmap.png" id="127" name="Picture"/>
                    <pic:cNvPicPr>
                      <a:picLocks noChangeArrowheads="1" noChangeAspect="1"/>
                    </pic:cNvPicPr>
                  </pic:nvPicPr>
                  <pic:blipFill>
                    <a:blip r:embed="rId12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18.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8"/>
    <w:bookmarkStart w:id="135"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0" name="Picture"/>
            <a:graphic>
              <a:graphicData uri="http://schemas.openxmlformats.org/drawingml/2006/picture">
                <pic:pic>
                  <pic:nvPicPr>
                    <pic:cNvPr descr="../immunedb_STATS_API/clonal_analysis/plots/24_metrics_vs_age.png" id="131" name="Picture"/>
                    <pic:cNvPicPr>
                      <a:picLocks noChangeArrowheads="1" noChangeAspect="1"/>
                    </pic:cNvPicPr>
                  </pic:nvPicPr>
                  <pic:blipFill>
                    <a:blip r:embed="rId12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19.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19</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0. Clonal metrics by gender and disease stage. Panel A: clone count (log scale). Panel B: mean CDR3 length. Panel C: CDR NS/S ratio. Boxplots compare male and female individuals within each disease category." title="" id="133" name="Picture"/>
            <a:graphic>
              <a:graphicData uri="http://schemas.openxmlformats.org/drawingml/2006/picture">
                <pic:pic>
                  <pic:nvPicPr>
                    <pic:cNvPr descr="../immunedb_STATS_API/clonal_analysis/plots/25_metrics_vs_gender.png" id="134" name="Picture"/>
                    <pic:cNvPicPr>
                      <a:picLocks noChangeArrowheads="1" noChangeAspect="1"/>
                    </pic:cNvPicPr>
                  </pic:nvPicPr>
                  <pic:blipFill>
                    <a:blip r:embed="rId13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20.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20</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5"/>
    <w:bookmarkStart w:id="142"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21</w:t>
      </w:r>
      <w:r>
        <w:t xml:space="preserve">) and CDR3 lengths (</w:t>
      </w:r>
      <w:r>
        <w:rPr>
          <w:bCs/>
          <w:b/>
        </w:rPr>
        <w:t xml:space="preserve">Figure 22</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1. Mutation level in top 10 clones stratified by sex and disease stage. Male and female individuals compared within each disease category. Demonstrates IS-API’s ability to perform intersectional queries across multiple metadata dimensions in a single API call." title="" id="137" name="Picture"/>
            <a:graphic>
              <a:graphicData uri="http://schemas.openxmlformats.org/drawingml/2006/picture">
                <pic:pic>
                  <pic:nvPicPr>
                    <pic:cNvPr descr="../immunedb_STATS_API/clonal_analysis/plots/12_mutation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2. CDR3 length in top 10 clones stratified by sex and disease stage. Mean CDR3 amino acid length of the top 10 clones per individual, grouped by sex within each disease category." title="" id="140" name="Picture"/>
            <a:graphic>
              <a:graphicData uri="http://schemas.openxmlformats.org/drawingml/2006/picture">
                <pic:pic>
                  <pic:nvPicPr>
                    <pic:cNvPr descr="../immunedb_STATS_API/clonal_analysis/plots/13_cdr3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CDR3 length in top 10 clones stratified by sex and disease stage. Mean CDR3 amino acid length of the top 10 clones per individual, grouped by sex within each disease category.</w:t>
      </w:r>
    </w:p>
    <w:bookmarkEnd w:id="142"/>
    <w:bookmarkStart w:id="152"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23</w:t>
      </w:r>
      <w:r>
        <w:t xml:space="preserve">), clone sizes (</w:t>
      </w:r>
      <w:r>
        <w:rPr>
          <w:bCs/>
          <w:b/>
        </w:rPr>
        <w:t xml:space="preserve">Figure 24</w:t>
      </w:r>
      <w:r>
        <w:t xml:space="preserve">), and paired tissue measurements (</w:t>
      </w:r>
      <w:r>
        <w:rPr>
          <w:bCs/>
          <w:b/>
        </w:rPr>
        <w:t xml:space="preserve">Figure 25</w:t>
      </w:r>
      <w:r>
        <w:t xml:space="preserve">) within the same individual.</w:t>
      </w:r>
    </w:p>
    <w:p>
      <w:pPr>
        <w:pStyle w:val="CaptionedFigure"/>
      </w:pPr>
      <w:r>
        <w:drawing>
          <wp:inline>
            <wp:extent cx="5334000" cy="3306593"/>
            <wp:effectExtent b="0" l="0" r="0" t="0"/>
            <wp:docPr descr="Figure 23. Within-individual clone count across tissues. For individuals with samples from multiple tissues (e.g., blood and bone marrow in HC1, blood and lung in CD1), clone counts are compared across tissue types within the same individual." title="" id="144" name="Picture"/>
            <a:graphic>
              <a:graphicData uri="http://schemas.openxmlformats.org/drawingml/2006/picture">
                <pic:pic>
                  <pic:nvPicPr>
                    <pic:cNvPr descr="../immunedb_STATS_API/clonal_analysis/plots/14_within_subject_clone_count.png" id="145" name="Picture"/>
                    <pic:cNvPicPr>
                      <a:picLocks noChangeArrowheads="1" noChangeAspect="1"/>
                    </pic:cNvPicPr>
                  </pic:nvPicPr>
                  <pic:blipFill>
                    <a:blip r:embed="rId143"/>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23.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4. Within-individual clone size across tissues. Clone size distributions compared between different tissue types within the same individual across studies." title="" id="147" name="Picture"/>
            <a:graphic>
              <a:graphicData uri="http://schemas.openxmlformats.org/drawingml/2006/picture">
                <pic:pic>
                  <pic:nvPicPr>
                    <pic:cNvPr descr="../immunedb_STATS_API/clonal_analysis/plots/15_within_subject_clone_size_cross_study.png" id="148" name="Picture"/>
                    <pic:cNvPicPr>
                      <a:picLocks noChangeArrowheads="1" noChangeAspect="1"/>
                    </pic:cNvPicPr>
                  </pic:nvPicPr>
                  <pic:blipFill>
                    <a:blip r:embed="rId146"/>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24.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5. Within-individual tissue comparison using paired line plots. Lines connect measurements from different tissues within the same individual, illustrating tissue-specific repertoire differences. Each line represents one individual sampled from multiple tissues." title="" id="150" name="Picture"/>
            <a:graphic>
              <a:graphicData uri="http://schemas.openxmlformats.org/drawingml/2006/picture">
                <pic:pic>
                  <pic:nvPicPr>
                    <pic:cNvPr descr="../immunedb_STATS_API/clonal_analysis/plots/16_within_subject_tissue_lines.png" id="151" name="Picture"/>
                    <pic:cNvPicPr>
                      <a:picLocks noChangeArrowheads="1" noChangeAspect="1"/>
                    </pic:cNvPicPr>
                  </pic:nvPicPr>
                  <pic:blipFill>
                    <a:blip r:embed="rId149"/>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25.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2"/>
    <w:bookmarkEnd w:id="153"/>
    <w:bookmarkStart w:id="158" w:name="discussion-and-conclusions"/>
    <w:p>
      <w:pPr>
        <w:pStyle w:val="Heading1"/>
      </w:pPr>
      <w:r>
        <w:rPr>
          <w:rStyle w:val="SectionNumber"/>
        </w:rPr>
        <w:t xml:space="preserve">8</w:t>
      </w:r>
      <w:r>
        <w:tab/>
      </w:r>
      <w:r>
        <w:t xml:space="preserve">Discussion and Conclusions</w:t>
      </w:r>
    </w:p>
    <w:bookmarkStart w:id="154"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4"/>
    <w:bookmarkStart w:id="155"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5"/>
    <w:bookmarkStart w:id="156"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6"/>
    <w:bookmarkStart w:id="157"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7"/>
    <w:bookmarkEnd w:id="158"/>
    <w:bookmarkStart w:id="159"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21" Target="media/rId121.png" /><Relationship Type="http://schemas.openxmlformats.org/officeDocument/2006/relationships/image" Id="rId105" Target="media/rId105.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82" Target="media/rId8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2026-09-05T08:06:59Z</dcterms:created>
  <dcterms:modified xsi:type="dcterms:W3CDTF">2026-09-05T08:06:59Z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