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92.png" ContentType="image/png"/>
  <Override PartName="/word/media/rId95.png" ContentType="image/png"/>
  <Override PartName="/word/media/rId86.png" ContentType="image/png"/>
  <Override PartName="/word/media/rId113.png" ContentType="image/png"/>
  <Override PartName="/word/media/rId116.png" ContentType="image/png"/>
  <Override PartName="/word/media/rId120.png" ContentType="image/png"/>
  <Override PartName="/word/media/rId123.png" ContentType="image/png"/>
  <Override PartName="/word/media/rId126.png" ContentType="image/png"/>
  <Override PartName="/word/media/rId72.png" ContentType="image/png"/>
  <Override PartName="/word/media/rId76.png" ContentType="image/png"/>
  <Override PartName="/word/media/rId98.png" ContentType="image/png"/>
  <Override PartName="/word/media/rId89.png" ContentType="image/png"/>
  <Override PartName="/word/media/rId102.png" ContentType="image/png"/>
  <Override PartName="/word/media/rId106.png" ContentType="image/png"/>
  <Override PartName="/word/media/rId109.png" ContentType="image/png"/>
  <Override PartName="/word/media/rId79.png" ContentType="image/png"/>
  <Override PartName="/word/media/rId69.png" ContentType="image/png"/>
  <Override PartName="/word/media/rId53.png" ContentType="image/png"/>
  <Override PartName="/word/media/rId56.png" ContentType="image/png"/>
  <Override PartName="/word/media/rId65.png" ContentType="image/png"/>
  <Override PartName="/word/media/rId59.png" ContentType="image/png"/>
  <Override PartName="/word/media/rId62.png" ContentType="image/png"/>
  <Override PartName="/word/media/rId50.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rPr>
          <w:rStyle w:val="SectionNumber"/>
        </w:rPr>
        <w:t xml:space="preserve">1</w:t>
      </w:r>
      <w:r>
        <w:tab/>
      </w: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cross-study analysis of COVID-19 BCR repertoires. Using the tool’s metadata querying capabilities, I first characterize six COVID-19-related and healthy control studies encompassing 106 blood-derived repertoires from 94 individuals, then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rPr>
          <w:rStyle w:val="SectionNumber"/>
        </w:rPr>
        <w:t xml:space="preserve">2</w:t>
      </w:r>
      <w:r>
        <w:tab/>
      </w: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Disease stage harmonization across studies.</w:t>
      </w:r>
    </w:p>
    <w:p>
      <w:pPr>
        <w:pStyle w:val="BodyText"/>
      </w:pPr>
      <w:r>
        <w:rPr>
          <w:bCs/>
          <w:b/>
        </w:rPr>
        <w:t xml:space="preserve">Table 3.</w:t>
      </w:r>
      <w:r>
        <w:t xml:space="preserve"> </w:t>
      </w:r>
      <w:r>
        <w:t xml:space="preserve">Individual counts per harmonized disease category.</w:t>
      </w:r>
    </w:p>
    <w:p>
      <w:pPr>
        <w:pStyle w:val="BodyText"/>
      </w:pPr>
      <w:r>
        <w:rPr>
          <w:bCs/>
          <w:b/>
        </w:rPr>
        <w:t xml:space="preserve">Table 4.</w:t>
      </w:r>
      <w:r>
        <w:t xml:space="preserve"> </w:t>
      </w:r>
      <w:r>
        <w:t xml:space="preserve">IS-API metadata endpoints.</w:t>
      </w:r>
    </w:p>
    <w:p>
      <w:pPr>
        <w:pStyle w:val="BodyText"/>
      </w:pPr>
      <w:r>
        <w:rPr>
          <w:bCs/>
          <w:b/>
        </w:rPr>
        <w:t xml:space="preserve">Table 5.</w:t>
      </w:r>
      <w:r>
        <w:t xml:space="preserve"> </w:t>
      </w:r>
      <w:r>
        <w:t xml:space="preserve">IS-API statistical endpoints — parameters, returns, and configurable options.</w:t>
      </w:r>
    </w:p>
    <w:bookmarkEnd w:id="21"/>
    <w:bookmarkStart w:id="25" w:name="list-of-figures"/>
    <w:p>
      <w:pPr>
        <w:pStyle w:val="Heading1"/>
      </w:pPr>
      <w:r>
        <w:rPr>
          <w:rStyle w:val="SectionNumber"/>
        </w:rPr>
        <w:t xml:space="preserve">3</w:t>
      </w:r>
      <w:r>
        <w:tab/>
      </w:r>
      <w:r>
        <w:t xml:space="preserve">List of Figures</w:t>
      </w:r>
    </w:p>
    <w:bookmarkStart w:id="22" w:name="methods-figures"/>
    <w:p>
      <w:pPr>
        <w:pStyle w:val="Heading2"/>
      </w:pPr>
      <w:r>
        <w:rPr>
          <w:rStyle w:val="SectionNumber"/>
        </w:rPr>
        <w:t xml:space="preserve">3.1</w:t>
      </w:r>
      <w:r>
        <w:tab/>
      </w: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rPr>
          <w:rStyle w:val="SectionNumber"/>
        </w:rPr>
        <w:t xml:space="preserve">3.2</w:t>
      </w:r>
      <w:r>
        <w:tab/>
      </w: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Raw disease stage labels across studies (13 categories before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results-figures"/>
    <w:p>
      <w:pPr>
        <w:pStyle w:val="Heading2"/>
      </w:pPr>
      <w:r>
        <w:rPr>
          <w:rStyle w:val="SectionNumber"/>
        </w:rPr>
        <w:t xml:space="preserve">3.3</w:t>
      </w:r>
      <w:r>
        <w:tab/>
      </w:r>
      <w:r>
        <w:t xml:space="preserve">Results Figures</w:t>
      </w:r>
    </w:p>
    <w:p>
      <w:pPr>
        <w:pStyle w:val="FirstParagraph"/>
      </w:pPr>
      <w:r>
        <w:rPr>
          <w:bCs/>
          <w:b/>
        </w:rPr>
        <w:t xml:space="preserve">Figure 1.</w:t>
      </w:r>
      <w:r>
        <w:t xml:space="preserve"> </w:t>
      </w:r>
      <w:r>
        <w:t xml:space="preserve">Clone count distribution by disease stage.</w:t>
      </w:r>
    </w:p>
    <w:p>
      <w:pPr>
        <w:pStyle w:val="BodyText"/>
      </w:pPr>
      <w:r>
        <w:rPr>
          <w:bCs/>
          <w:b/>
        </w:rPr>
        <w:t xml:space="preserve">Figure 2.</w:t>
      </w:r>
      <w:r>
        <w:t xml:space="preserve"> </w:t>
      </w:r>
      <w:r>
        <w:t xml:space="preserve">Diversity profiles by disease stage.</w:t>
      </w:r>
    </w:p>
    <w:p>
      <w:pPr>
        <w:pStyle w:val="BodyText"/>
      </w:pPr>
      <w:r>
        <w:rPr>
          <w:bCs/>
          <w:b/>
        </w:rPr>
        <w:t xml:space="preserve">Figure 3.</w:t>
      </w:r>
      <w:r>
        <w:t xml:space="preserve"> </w:t>
      </w:r>
      <w:r>
        <w:t xml:space="preserve">Clone size distribution by disease stage.</w:t>
      </w:r>
    </w:p>
    <w:p>
      <w:pPr>
        <w:pStyle w:val="BodyText"/>
      </w:pPr>
      <w:r>
        <w:rPr>
          <w:bCs/>
          <w:b/>
        </w:rPr>
        <w:t xml:space="preserve">Figure 4.</w:t>
      </w:r>
      <w:r>
        <w:t xml:space="preserve"> </w:t>
      </w:r>
      <w:r>
        <w:t xml:space="preserve">Clone size: copies versus unique sequences by disease stage.</w:t>
      </w:r>
    </w:p>
    <w:p>
      <w:pPr>
        <w:pStyle w:val="BodyText"/>
      </w:pPr>
      <w:r>
        <w:rPr>
          <w:bCs/>
          <w:b/>
        </w:rPr>
        <w:t xml:space="preserve">Figure 5.</w:t>
      </w:r>
      <w:r>
        <w:t xml:space="preserve"> </w:t>
      </w:r>
      <w:r>
        <w:t xml:space="preserve">Clonal concentration (Top X) by disease stage.</w:t>
      </w:r>
    </w:p>
    <w:p>
      <w:pPr>
        <w:pStyle w:val="BodyText"/>
      </w:pPr>
      <w:r>
        <w:rPr>
          <w:bCs/>
          <w:b/>
        </w:rPr>
        <w:t xml:space="preserve">Figure 6.</w:t>
      </w:r>
      <w:r>
        <w:t xml:space="preserve"> </w:t>
      </w:r>
      <w:r>
        <w:t xml:space="preserve">CDR3 length by clone size and disease stage (expanded vs. rest).</w:t>
      </w:r>
    </w:p>
    <w:p>
      <w:pPr>
        <w:pStyle w:val="BodyText"/>
      </w:pPr>
      <w:r>
        <w:rPr>
          <w:bCs/>
          <w:b/>
        </w:rPr>
        <w:t xml:space="preserve">Figure 7.</w:t>
      </w:r>
      <w:r>
        <w:t xml:space="preserve"> </w:t>
      </w:r>
      <w:r>
        <w:t xml:space="preserve">CDR3 length distribution: all clones and expanded clones by disease stage.</w:t>
      </w:r>
    </w:p>
    <w:p>
      <w:pPr>
        <w:pStyle w:val="BodyText"/>
      </w:pPr>
      <w:r>
        <w:rPr>
          <w:bCs/>
          <w:b/>
        </w:rPr>
        <w:t xml:space="preserve">Figure 8.</w:t>
      </w:r>
      <w:r>
        <w:t xml:space="preserve"> </w:t>
      </w:r>
      <w:r>
        <w:t xml:space="preserve">CDR3 length of top 10 clones by disease stage.</w:t>
      </w:r>
    </w:p>
    <w:p>
      <w:pPr>
        <w:pStyle w:val="BodyText"/>
      </w:pPr>
      <w:r>
        <w:rPr>
          <w:bCs/>
          <w:b/>
        </w:rPr>
        <w:t xml:space="preserve">Figure 9.</w:t>
      </w:r>
      <w:r>
        <w:t xml:space="preserve"> </w:t>
      </w:r>
      <w:r>
        <w:t xml:space="preserve">CDR3 length range of top 10 clones by disease stage.</w:t>
      </w:r>
    </w:p>
    <w:p>
      <w:pPr>
        <w:pStyle w:val="BodyText"/>
      </w:pPr>
      <w:r>
        <w:rPr>
          <w:bCs/>
          <w:b/>
        </w:rPr>
        <w:t xml:space="preserve">Figure 10.</w:t>
      </w:r>
      <w:r>
        <w:t xml:space="preserve"> </w:t>
      </w:r>
      <w:r>
        <w:t xml:space="preserve">NS/S ratios and mutation counts by disease stage (all clones and expanded vs. rest).</w:t>
      </w:r>
    </w:p>
    <w:p>
      <w:pPr>
        <w:pStyle w:val="BodyText"/>
      </w:pPr>
      <w:r>
        <w:rPr>
          <w:bCs/>
          <w:b/>
        </w:rPr>
        <w:t xml:space="preserve">Figure 11.</w:t>
      </w:r>
      <w:r>
        <w:t xml:space="preserve"> </w:t>
      </w:r>
      <w:r>
        <w:t xml:space="preserve">V gene usage heatmap by disease stage.</w:t>
      </w:r>
    </w:p>
    <w:p>
      <w:pPr>
        <w:pStyle w:val="BodyText"/>
      </w:pPr>
      <w:r>
        <w:rPr>
          <w:bCs/>
          <w:b/>
        </w:rPr>
        <w:t xml:space="preserve">Figure 12.</w:t>
      </w:r>
      <w:r>
        <w:t xml:space="preserve"> </w:t>
      </w:r>
      <w:r>
        <w:t xml:space="preserve">Clonal metrics versus age by disease stage.</w:t>
      </w:r>
    </w:p>
    <w:p>
      <w:pPr>
        <w:pStyle w:val="BodyText"/>
      </w:pPr>
      <w:r>
        <w:rPr>
          <w:bCs/>
          <w:b/>
        </w:rPr>
        <w:t xml:space="preserve">Figure 13.</w:t>
      </w:r>
      <w:r>
        <w:t xml:space="preserve"> </w:t>
      </w:r>
      <w:r>
        <w:t xml:space="preserve">Clonal metrics by gender and disease stage.</w:t>
      </w:r>
    </w:p>
    <w:p>
      <w:pPr>
        <w:pStyle w:val="BodyText"/>
      </w:pPr>
      <w:r>
        <w:rPr>
          <w:bCs/>
          <w:b/>
        </w:rPr>
        <w:t xml:space="preserve">Figure 14.</w:t>
      </w:r>
      <w:r>
        <w:t xml:space="preserve"> </w:t>
      </w:r>
      <w:r>
        <w:t xml:space="preserve">Mutation level in top 10 clones stratified by sex and disease stage.</w:t>
      </w:r>
    </w:p>
    <w:p>
      <w:pPr>
        <w:pStyle w:val="BodyText"/>
      </w:pPr>
      <w:r>
        <w:rPr>
          <w:bCs/>
          <w:b/>
        </w:rPr>
        <w:t xml:space="preserve">Figure 15.</w:t>
      </w:r>
      <w:r>
        <w:t xml:space="preserve"> </w:t>
      </w:r>
      <w:r>
        <w:t xml:space="preserve">CDR3 length in top 10 clones stratified by sex and disease stage.</w:t>
      </w:r>
    </w:p>
    <w:p>
      <w:pPr>
        <w:pStyle w:val="BodyText"/>
      </w:pPr>
      <w:r>
        <w:rPr>
          <w:bCs/>
          <w:b/>
        </w:rPr>
        <w:t xml:space="preserve">Figure 16.</w:t>
      </w:r>
      <w:r>
        <w:t xml:space="preserve"> </w:t>
      </w:r>
      <w:r>
        <w:t xml:space="preserve">Within-individual clone count across tissues.</w:t>
      </w:r>
    </w:p>
    <w:p>
      <w:pPr>
        <w:pStyle w:val="BodyText"/>
      </w:pPr>
      <w:r>
        <w:rPr>
          <w:bCs/>
          <w:b/>
        </w:rPr>
        <w:t xml:space="preserve">Figure 17.</w:t>
      </w:r>
      <w:r>
        <w:t xml:space="preserve"> </w:t>
      </w:r>
      <w:r>
        <w:t xml:space="preserve">Within-individual clone size across tissues.</w:t>
      </w:r>
    </w:p>
    <w:p>
      <w:pPr>
        <w:pStyle w:val="BodyText"/>
      </w:pPr>
      <w:r>
        <w:rPr>
          <w:bCs/>
          <w:b/>
        </w:rPr>
        <w:t xml:space="preserve">Figure 18.</w:t>
      </w:r>
      <w:r>
        <w:t xml:space="preserve"> </w:t>
      </w:r>
      <w:r>
        <w:t xml:space="preserve">Within-individual tissue comparison (paired line plots).</w:t>
      </w:r>
    </w:p>
    <w:bookmarkEnd w:id="24"/>
    <w:bookmarkEnd w:id="25"/>
    <w:bookmarkStart w:id="30" w:name="introduction"/>
    <w:p>
      <w:pPr>
        <w:pStyle w:val="Heading1"/>
      </w:pPr>
      <w:r>
        <w:rPr>
          <w:rStyle w:val="SectionNumber"/>
        </w:rPr>
        <w:t xml:space="preserve">4</w:t>
      </w:r>
      <w:r>
        <w:tab/>
      </w:r>
      <w:r>
        <w:t xml:space="preserve">Introduction</w:t>
      </w:r>
    </w:p>
    <w:bookmarkStart w:id="26" w:name="b-cell-repertoire-and-diversity"/>
    <w:p>
      <w:pPr>
        <w:pStyle w:val="Heading2"/>
      </w:pPr>
      <w:r>
        <w:rPr>
          <w:rStyle w:val="SectionNumber"/>
        </w:rPr>
        <w:t xml:space="preserve">4.1</w:t>
      </w:r>
      <w:r>
        <w:tab/>
      </w: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6"/>
    <w:bookmarkStart w:id="27" w:name="Xa08f12d649e3367d5781fc6cfe4745b30e4838b"/>
    <w:p>
      <w:pPr>
        <w:pStyle w:val="Heading2"/>
      </w:pPr>
      <w:r>
        <w:rPr>
          <w:rStyle w:val="SectionNumber"/>
        </w:rPr>
        <w:t xml:space="preserve">4.2</w:t>
      </w:r>
      <w:r>
        <w:tab/>
      </w: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rPr>
          <w:rStyle w:val="SectionNumber"/>
        </w:rPr>
        <w:t xml:space="preserve">4.3</w:t>
      </w:r>
      <w:r>
        <w:tab/>
      </w: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rPr>
          <w:rStyle w:val="SectionNumber"/>
        </w:rPr>
        <w:t xml:space="preserve">4.4</w:t>
      </w:r>
      <w:r>
        <w:tab/>
      </w: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rPr>
          <w:rStyle w:val="SectionNumber"/>
        </w:rPr>
        <w:t xml:space="preserve">5</w:t>
      </w:r>
      <w:r>
        <w:tab/>
      </w: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49" w:name="materials-and-methods"/>
    <w:p>
      <w:pPr>
        <w:pStyle w:val="Heading1"/>
      </w:pPr>
      <w:r>
        <w:rPr>
          <w:rStyle w:val="SectionNumber"/>
        </w:rPr>
        <w:t xml:space="preserve">6</w:t>
      </w:r>
      <w:r>
        <w:tab/>
      </w:r>
      <w:r>
        <w:t xml:space="preserve">Materials and Methods</w:t>
      </w:r>
    </w:p>
    <w:bookmarkStart w:id="32" w:name="Xc5f81cf2ad782ded6d4ca40ca7147c262017470"/>
    <w:p>
      <w:pPr>
        <w:pStyle w:val="Heading2"/>
      </w:pPr>
      <w:r>
        <w:rPr>
          <w:rStyle w:val="SectionNumber"/>
        </w:rPr>
        <w:t xml:space="preserve">6.1</w:t>
      </w:r>
      <w:r>
        <w:tab/>
      </w: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 ID</w:t>
            </w:r>
          </w:p>
        </w:tc>
        <w:tc>
          <w:tcPr/>
          <w:p>
            <w:pPr>
              <w:pStyle w:val="Compact"/>
              <w:jc w:val="left"/>
            </w:pPr>
            <w:r>
              <w:t xml:space="preserve">Database</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Covid19_db3</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covid_db2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covid19</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vaccine2</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[49]</w:t>
            </w:r>
          </w:p>
        </w:tc>
      </w:tr>
      <w:tr>
        <w:tc>
          <w:tcPr/>
          <w:p>
            <w:pPr>
              <w:pStyle w:val="Compact"/>
              <w:jc w:val="left"/>
            </w:pPr>
            <w:r>
              <w:t xml:space="preserve">CVX2</w:t>
            </w:r>
          </w:p>
        </w:tc>
        <w:tc>
          <w:tcPr/>
          <w:p>
            <w:pPr>
              <w:pStyle w:val="Compact"/>
              <w:jc w:val="left"/>
            </w:pPr>
            <w:r>
              <w:t xml:space="preserve">covid_vaccine_new</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[33]</w:t>
            </w:r>
          </w:p>
        </w:tc>
      </w:tr>
      <w:tr>
        <w:tc>
          <w:tcPr/>
          <w:p>
            <w:pPr>
              <w:pStyle w:val="Compact"/>
              <w:jc w:val="left"/>
            </w:pPr>
            <w:r>
              <w:t xml:space="preserve">HC1</w:t>
            </w:r>
          </w:p>
        </w:tc>
        <w:tc>
          <w:tcPr/>
          <w:p>
            <w:pPr>
              <w:pStyle w:val="Compact"/>
              <w:jc w:val="left"/>
            </w:pPr>
            <w:r>
              <w:t xml:space="preserve">lp16</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sykesIgblast2020</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rPr>
          <w:rStyle w:val="SectionNumber"/>
        </w:rPr>
        <w:t xml:space="preserve">6.2</w:t>
      </w:r>
      <w:r>
        <w:tab/>
      </w: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(peripheral blood lymphocytes), and PBMC (peripheral blood mononuclear cells). Non-blood tissues (bone marrow, lymph node, lung, gut) were excluded from the cross-study comparison to ensure tissue homogeneity.</w:t>
      </w:r>
    </w:p>
    <w:bookmarkEnd w:id="33"/>
    <w:bookmarkStart w:id="34" w:name="disease-stage-harmonization"/>
    <w:p>
      <w:pPr>
        <w:pStyle w:val="Heading2"/>
      </w:pPr>
      <w:r>
        <w:rPr>
          <w:rStyle w:val="SectionNumber"/>
        </w:rPr>
        <w:t xml:space="preserve">6.3</w:t>
      </w:r>
      <w:r>
        <w:tab/>
      </w:r>
      <w:r>
        <w:t xml:space="preserve">Disease Stage Harmonization</w:t>
      </w:r>
    </w:p>
    <w:p>
      <w:pPr>
        <w:pStyle w:val="FirstParagraph"/>
      </w:pPr>
      <w:r>
        <w:t xml:space="preserve">Different studies used different terminology for disease stages. We harmonized these into six categories (</w:t>
      </w:r>
      <w:r>
        <w:rPr>
          <w:bCs/>
          <w:b/>
        </w:rPr>
        <w:t xml:space="preserve">Table 2</w:t>
      </w:r>
      <w:r>
        <w:t xml:space="preserve">).</w:t>
      </w:r>
    </w:p>
    <w:p>
      <w:pPr>
        <w:pStyle w:val="BodyText"/>
      </w:pPr>
      <w:r>
        <w:rPr>
          <w:bCs/>
          <w:b/>
        </w:rPr>
        <w:t xml:space="preserve">Table 2.</w:t>
      </w:r>
      <w:r>
        <w:t xml:space="preserve"> </w:t>
      </w:r>
      <w:r>
        <w:t xml:space="preserve">Disease stage harmonization. Original labels from each study mapped to unified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Harmonized Category</w:t>
            </w:r>
          </w:p>
        </w:tc>
        <w:tc>
          <w:tcPr/>
          <w:p>
            <w:pPr>
              <w:pStyle w:val="Compact"/>
              <w:jc w:val="left"/>
            </w:pPr>
            <w:r>
              <w:t xml:space="preserve">Original Labels</w:t>
            </w:r>
          </w:p>
        </w:tc>
        <w:tc>
          <w:tcPr/>
          <w:p>
            <w:pPr>
              <w:pStyle w:val="Compact"/>
              <w:jc w:val="left"/>
            </w:pPr>
            <w:r>
              <w:t xml:space="preserve">Source Studies</w:t>
            </w:r>
          </w:p>
        </w:tc>
      </w:tr>
      <w:tr>
        <w:tc>
          <w:tcPr/>
          <w:p>
            <w:pPr>
              <w:pStyle w:val="Compact"/>
              <w:jc w:val="left"/>
            </w:pPr>
            <w:r>
              <w:t xml:space="preserve">Severe</w:t>
            </w:r>
          </w:p>
        </w:tc>
        <w:tc>
          <w:tcPr/>
          <w:p>
            <w:pPr>
              <w:pStyle w:val="Compact"/>
              <w:jc w:val="left"/>
            </w:pPr>
            <w:r>
              <w:t xml:space="preserve">“</w:t>
            </w:r>
            <w:r>
              <w:t xml:space="preserve">severe</w:t>
            </w:r>
            <w:r>
              <w:t xml:space="preserve">”</w:t>
            </w:r>
            <w:r>
              <w:t xml:space="preserve">,</w:t>
            </w:r>
            <w:r>
              <w:t xml:space="preserve"> </w:t>
            </w:r>
            <w:r>
              <w:t xml:space="preserve">“</w:t>
            </w:r>
            <w:r>
              <w:t xml:space="preserve">Early phase hypoxaemia</w:t>
            </w:r>
            <w:r>
              <w:t xml:space="preserve">”</w:t>
            </w:r>
          </w:p>
        </w:tc>
        <w:tc>
          <w:tcPr/>
          <w:p>
            <w:pPr>
              <w:pStyle w:val="Compact"/>
              <w:jc w:val="left"/>
            </w:pPr>
            <w:r>
              <w:t xml:space="preserve">CD1, CD2, CD3</w:t>
            </w:r>
          </w:p>
        </w:tc>
      </w:tr>
      <w:tr>
        <w:tc>
          <w:tcPr/>
          <w:p>
            <w:pPr>
              <w:pStyle w:val="Compact"/>
              <w:jc w:val="left"/>
            </w:pPr>
            <w:r>
              <w:t xml:space="preserve">Moderate</w:t>
            </w:r>
          </w:p>
        </w:tc>
        <w:tc>
          <w:tcPr/>
          <w:p>
            <w:pPr>
              <w:pStyle w:val="Compact"/>
              <w:jc w:val="left"/>
            </w:pPr>
            <w:r>
              <w:t xml:space="preserve">“</w:t>
            </w:r>
            <w:r>
              <w:t xml:space="preserve">Early phase-Stable</w:t>
            </w:r>
            <w:r>
              <w:t xml:space="preserve">”</w:t>
            </w:r>
            <w:r>
              <w:t xml:space="preserve">,</w:t>
            </w:r>
            <w:r>
              <w:t xml:space="preserve"> </w:t>
            </w:r>
            <w:r>
              <w:t xml:space="preserve">“</w:t>
            </w:r>
            <w:r>
              <w:t xml:space="preserve">Early phase-Improving</w:t>
            </w:r>
            <w:r>
              <w:t xml:space="preserve">”</w:t>
            </w:r>
          </w:p>
        </w:tc>
        <w:tc>
          <w:tcPr/>
          <w:p>
            <w:pPr>
              <w:pStyle w:val="Compact"/>
              <w:jc w:val="left"/>
            </w:pPr>
            <w:r>
              <w:t xml:space="preserve">CD1</w:t>
            </w:r>
          </w:p>
        </w:tc>
      </w:tr>
      <w:tr>
        <w:tc>
          <w:tcPr/>
          <w:p>
            <w:pPr>
              <w:pStyle w:val="Compact"/>
              <w:jc w:val="left"/>
            </w:pPr>
            <w:r>
              <w:t xml:space="preserve">Mild</w:t>
            </w:r>
          </w:p>
        </w:tc>
        <w:tc>
          <w:tcPr/>
          <w:p>
            <w:pPr>
              <w:pStyle w:val="Compact"/>
              <w:jc w:val="left"/>
            </w:pPr>
            <w:r>
              <w:t xml:space="preserve">“</w:t>
            </w:r>
            <w:r>
              <w:t xml:space="preserve">mild</w:t>
            </w:r>
            <w:r>
              <w:t xml:space="preserve">”</w:t>
            </w:r>
            <w:r>
              <w:t xml:space="preserve">,</w:t>
            </w:r>
            <w:r>
              <w:t xml:space="preserve"> </w:t>
            </w:r>
            <w:r>
              <w:t xml:space="preserve">“</w:t>
            </w:r>
            <w:r>
              <w:t xml:space="preserve">non-severe</w:t>
            </w:r>
            <w:r>
              <w:t xml:space="preserve">”</w:t>
            </w:r>
          </w:p>
        </w:tc>
        <w:tc>
          <w:tcPr/>
          <w:p>
            <w:pPr>
              <w:pStyle w:val="Compact"/>
              <w:jc w:val="left"/>
            </w:pPr>
            <w:r>
              <w:t xml:space="preserve">CD1, CD2</w:t>
            </w:r>
          </w:p>
        </w:tc>
      </w:tr>
      <w:tr>
        <w:tc>
          <w:tcPr/>
          <w:p>
            <w:pPr>
              <w:pStyle w:val="Compact"/>
              <w:jc w:val="left"/>
            </w:pPr>
            <w:r>
              <w:t xml:space="preserve">Recovered</w:t>
            </w:r>
          </w:p>
        </w:tc>
        <w:tc>
          <w:tcPr/>
          <w:p>
            <w:pPr>
              <w:pStyle w:val="Compact"/>
              <w:jc w:val="left"/>
            </w:pP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tc>
        <w:tc>
          <w:tcPr/>
          <w:p>
            <w:pPr>
              <w:pStyle w:val="Compact"/>
              <w:jc w:val="left"/>
            </w:pPr>
            <w:r>
              <w:t xml:space="preserve">CD1, CD2, CVX1, CVX2</w:t>
            </w:r>
          </w:p>
        </w:tc>
      </w:tr>
      <w:tr>
        <w:tc>
          <w:tcPr/>
          <w:p>
            <w:pPr>
              <w:pStyle w:val="Compact"/>
              <w:jc w:val="left"/>
            </w:pPr>
            <w:r>
              <w:t xml:space="preserve">COVID Naive</w:t>
            </w:r>
          </w:p>
        </w:tc>
        <w:tc>
          <w:tcPr/>
          <w:p>
            <w:pPr>
              <w:pStyle w:val="Compact"/>
              <w:jc w:val="left"/>
            </w:pPr>
            <w:r>
              <w:t xml:space="preserve">“</w:t>
            </w:r>
            <w:r>
              <w:t xml:space="preserve">COVID Naive</w:t>
            </w:r>
            <w:r>
              <w:t xml:space="preserve">”</w:t>
            </w:r>
          </w:p>
        </w:tc>
        <w:tc>
          <w:tcPr/>
          <w:p>
            <w:pPr>
              <w:pStyle w:val="Compact"/>
              <w:jc w:val="left"/>
            </w:pPr>
            <w:r>
              <w:t xml:space="preserve">CVX1</w:t>
            </w:r>
          </w:p>
        </w:tc>
      </w:tr>
      <w:tr>
        <w:tc>
          <w:tcPr/>
          <w:p>
            <w:pPr>
              <w:pStyle w:val="Compact"/>
              <w:jc w:val="left"/>
            </w:pPr>
            <w:r>
              <w:t xml:space="preserve">Healthy</w:t>
            </w:r>
          </w:p>
        </w:tc>
        <w:tc>
          <w:tcPr/>
          <w:p>
            <w:pPr>
              <w:pStyle w:val="Compact"/>
              <w:jc w:val="left"/>
            </w:pPr>
            <w:r>
              <w:t xml:space="preserve">“</w:t>
            </w:r>
            <w:r>
              <w:t xml:space="preserve">healthy</w:t>
            </w:r>
            <w:r>
              <w:t xml:space="preserve">”</w:t>
            </w:r>
          </w:p>
        </w:tc>
        <w:tc>
          <w:tcPr/>
          <w:p>
            <w:pPr>
              <w:pStyle w:val="Compact"/>
              <w:jc w:val="left"/>
            </w:pPr>
            <w:r>
              <w:t xml:space="preserve">CD3, HC1</w:t>
            </w:r>
          </w:p>
        </w:tc>
      </w:tr>
    </w:tbl>
    <w:p>
      <w:pPr>
        <w:pStyle w:val="BodyText"/>
      </w:pPr>
      <w:r>
        <w:t xml:space="preserve">The COVID Naive category refers to vaccinated individuals with no history of COVID-19 infection. The Healthy category refers to individuals with no history of COVID-19 infection or vaccination.</w:t>
      </w:r>
    </w:p>
    <w:p>
      <w:pPr>
        <w:pStyle w:val="BodyText"/>
      </w:pPr>
      <w:r>
        <w:t xml:space="preserve">The final cohort composition is shown in</w:t>
      </w:r>
      <w:r>
        <w:t xml:space="preserve"> </w:t>
      </w:r>
      <w:r>
        <w:rPr>
          <w:bCs/>
          <w:b/>
        </w:rPr>
        <w:t xml:space="preserve">Table 3</w:t>
      </w:r>
      <w:r>
        <w:t xml:space="preserve">.</w:t>
      </w:r>
    </w:p>
    <w:p>
      <w:pPr>
        <w:pStyle w:val="BodyText"/>
      </w:pPr>
      <w:r>
        <w:rPr>
          <w:bCs/>
          <w:b/>
        </w:rPr>
        <w:t xml:space="preserve">Table 3.</w:t>
      </w:r>
      <w:r>
        <w:t xml:space="preserve"> </w:t>
      </w:r>
      <w:r>
        <w:t xml:space="preserve">Individual counts per harmonized disease category.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Disease Category</w:t>
            </w:r>
          </w:p>
        </w:tc>
        <w:tc>
          <w:tcPr/>
          <w:p>
            <w:pPr>
              <w:pStyle w:val="Compact"/>
              <w:jc w:val="left"/>
            </w:pPr>
            <w:r>
              <w:t xml:space="preserve">N</w:t>
            </w:r>
          </w:p>
        </w:tc>
        <w:tc>
          <w:tcPr/>
          <w:p>
            <w:pPr>
              <w:pStyle w:val="Compact"/>
              <w:jc w:val="left"/>
            </w:pPr>
            <w:r>
              <w:t xml:space="preserve">Contributing Studies</w:t>
            </w:r>
          </w:p>
        </w:tc>
        <w:tc>
          <w:tcPr/>
          <w:p>
            <w:pPr>
              <w:pStyle w:val="Compact"/>
              <w:jc w:val="left"/>
            </w:pPr>
            <w:r>
              <w:t xml:space="preserve">Notes</w:t>
            </w:r>
          </w:p>
        </w:tc>
      </w:tr>
      <w:tr>
        <w:tc>
          <w:tcPr/>
          <w:p>
            <w:pPr>
              <w:pStyle w:val="Compact"/>
              <w:jc w:val="left"/>
            </w:pPr>
            <w:r>
              <w:t xml:space="preserve">Severe</w:t>
            </w:r>
          </w:p>
        </w:tc>
        <w:tc>
          <w:tcPr/>
          <w:p>
            <w:pPr>
              <w:pStyle w:val="Compact"/>
              <w:jc w:val="left"/>
            </w:pPr>
            <w:r>
              <w:t xml:space="preserve">26</w:t>
            </w:r>
          </w:p>
        </w:tc>
        <w:tc>
          <w:tcPr/>
          <w:p>
            <w:pPr>
              <w:pStyle w:val="Compact"/>
              <w:jc w:val="left"/>
            </w:pPr>
            <w:r>
              <w:t xml:space="preserve">CD1, CD2, CD3</w:t>
            </w:r>
          </w:p>
        </w:tc>
        <w:tc>
          <w:tcPr/>
          <w:p>
            <w:pPr>
              <w:pStyle w:val="Compact"/>
            </w:pPr>
          </w:p>
        </w:tc>
      </w:tr>
      <w:tr>
        <w:tc>
          <w:tcPr/>
          <w:p>
            <w:pPr>
              <w:pStyle w:val="Compact"/>
              <w:jc w:val="left"/>
            </w:pPr>
            <w:r>
              <w:t xml:space="preserve">Moderate</w:t>
            </w:r>
          </w:p>
        </w:tc>
        <w:tc>
          <w:tcPr/>
          <w:p>
            <w:pPr>
              <w:pStyle w:val="Compact"/>
              <w:jc w:val="left"/>
            </w:pPr>
            <w:r>
              <w:t xml:space="preserve">9</w:t>
            </w:r>
          </w:p>
        </w:tc>
        <w:tc>
          <w:tcPr/>
          <w:p>
            <w:pPr>
              <w:pStyle w:val="Compact"/>
              <w:jc w:val="left"/>
            </w:pPr>
            <w:r>
              <w:t xml:space="preserve">CD1</w:t>
            </w:r>
          </w:p>
        </w:tc>
        <w:tc>
          <w:tcPr/>
          <w:p>
            <w:pPr>
              <w:pStyle w:val="Compact"/>
            </w:pPr>
          </w:p>
        </w:tc>
      </w:tr>
      <w:tr>
        <w:tc>
          <w:tcPr/>
          <w:p>
            <w:pPr>
              <w:pStyle w:val="Compact"/>
              <w:jc w:val="left"/>
            </w:pPr>
            <w:r>
              <w:t xml:space="preserve">Mild</w:t>
            </w:r>
          </w:p>
        </w:tc>
        <w:tc>
          <w:tcPr/>
          <w:p>
            <w:pPr>
              <w:pStyle w:val="Compact"/>
              <w:jc w:val="left"/>
            </w:pPr>
            <w:r>
              <w:t xml:space="preserve">30</w:t>
            </w:r>
          </w:p>
        </w:tc>
        <w:tc>
          <w:tcPr/>
          <w:p>
            <w:pPr>
              <w:pStyle w:val="Compact"/>
              <w:jc w:val="left"/>
            </w:pPr>
            <w:r>
              <w:t xml:space="preserve">CD1, CD2</w:t>
            </w:r>
          </w:p>
        </w:tc>
        <w:tc>
          <w:tcPr/>
          <w:p>
            <w:pPr>
              <w:pStyle w:val="Compact"/>
            </w:pPr>
          </w:p>
        </w:tc>
      </w:tr>
      <w:tr>
        <w:tc>
          <w:tcPr/>
          <w:p>
            <w:pPr>
              <w:pStyle w:val="Compact"/>
              <w:jc w:val="left"/>
            </w:pPr>
            <w:r>
              <w:t xml:space="preserve">Recovered</w:t>
            </w:r>
          </w:p>
        </w:tc>
        <w:tc>
          <w:tcPr/>
          <w:p>
            <w:pPr>
              <w:pStyle w:val="Compact"/>
              <w:jc w:val="left"/>
            </w:pPr>
            <w:r>
              <w:t xml:space="preserve">12</w:t>
            </w:r>
          </w:p>
        </w:tc>
        <w:tc>
          <w:tcPr/>
          <w:p>
            <w:pPr>
              <w:pStyle w:val="Compact"/>
              <w:jc w:val="left"/>
            </w:pPr>
            <w:r>
              <w:t xml:space="preserve">CD2, CVX1, CVX2</w:t>
            </w:r>
          </w:p>
        </w:tc>
        <w:tc>
          <w:tcPr/>
          <w:p>
            <w:pPr>
              <w:pStyle w:val="Compact"/>
              <w:jc w:val="left"/>
            </w:pPr>
            <w:r>
              <w:t xml:space="preserve">Includes naturally recovered (3 from CD2) and vaccine-recovered (5 from CVX2, 4 from CVX1)</w:t>
            </w:r>
          </w:p>
        </w:tc>
      </w:tr>
      <w:tr>
        <w:tc>
          <w:tcPr/>
          <w:p>
            <w:pPr>
              <w:pStyle w:val="Compact"/>
              <w:jc w:val="left"/>
            </w:pPr>
            <w:r>
              <w:t xml:space="preserve">COVID Naive</w:t>
            </w:r>
          </w:p>
        </w:tc>
        <w:tc>
          <w:tcPr/>
          <w:p>
            <w:pPr>
              <w:pStyle w:val="Compact"/>
              <w:jc w:val="left"/>
            </w:pPr>
            <w:r>
              <w:t xml:space="preserve">8</w:t>
            </w:r>
          </w:p>
        </w:tc>
        <w:tc>
          <w:tcPr/>
          <w:p>
            <w:pPr>
              <w:pStyle w:val="Compact"/>
              <w:jc w:val="left"/>
            </w:pPr>
            <w:r>
              <w:t xml:space="preserve">CVX1</w:t>
            </w:r>
          </w:p>
        </w:tc>
        <w:tc>
          <w:tcPr/>
          <w:p>
            <w:pPr>
              <w:pStyle w:val="Compact"/>
              <w:jc w:val="left"/>
            </w:pPr>
            <w:r>
              <w:t xml:space="preserve">Vaccinated, never infected with SARS-CoV-2</w:t>
            </w:r>
          </w:p>
        </w:tc>
      </w:tr>
      <w:tr>
        <w:tc>
          <w:tcPr/>
          <w:p>
            <w:pPr>
              <w:pStyle w:val="Compact"/>
              <w:jc w:val="left"/>
            </w:pPr>
            <w:r>
              <w:t xml:space="preserve">Healthy</w:t>
            </w:r>
          </w:p>
        </w:tc>
        <w:tc>
          <w:tcPr/>
          <w:p>
            <w:pPr>
              <w:pStyle w:val="Compact"/>
              <w:jc w:val="left"/>
            </w:pPr>
            <w:r>
              <w:t xml:space="preserve">9</w:t>
            </w:r>
          </w:p>
        </w:tc>
        <w:tc>
          <w:tcPr/>
          <w:p>
            <w:pPr>
              <w:pStyle w:val="Compact"/>
              <w:jc w:val="left"/>
            </w:pPr>
            <w:r>
              <w:t xml:space="preserve">CD3, HC1</w:t>
            </w:r>
          </w:p>
        </w:tc>
        <w:tc>
          <w:tcPr/>
          <w:p>
            <w:pPr>
              <w:pStyle w:val="Compact"/>
              <w:jc w:val="left"/>
            </w:pPr>
            <w:r>
              <w:t xml:space="preserve">No COVID-19 history, no vaccination (3 from CD3, 6 from HC1)</w:t>
            </w:r>
          </w:p>
        </w:tc>
      </w:tr>
      <w:tr>
        <w:tc>
          <w:tcPr/>
          <w:p>
            <w:pPr>
              <w:pStyle w:val="Compact"/>
              <w:jc w:val="left"/>
            </w:pPr>
            <w:r>
              <w:rPr>
                <w:bCs/>
                <w:b/>
              </w:rPr>
              <w:t xml:space="preserve">Total</w:t>
            </w:r>
          </w:p>
        </w:tc>
        <w:tc>
          <w:tcPr/>
          <w:p>
            <w:pPr>
              <w:pStyle w:val="Compact"/>
              <w:jc w:val="left"/>
            </w:pPr>
            <w:r>
              <w:rPr>
                <w:bCs/>
                <w:b/>
              </w:rPr>
              <w:t xml:space="preserve">94</w:t>
            </w:r>
          </w:p>
        </w:tc>
        <w:tc>
          <w:tcPr/>
          <w:p>
            <w:pPr>
              <w:pStyle w:val="Compact"/>
            </w:pPr>
          </w:p>
        </w:tc>
        <w:tc>
          <w:tcPr/>
          <w:p>
            <w:pPr>
              <w:pStyle w:val="Compact"/>
            </w:pPr>
          </w:p>
        </w:tc>
      </w:tr>
    </w:tbl>
    <w:bookmarkEnd w:id="34"/>
    <w:bookmarkStart w:id="35" w:name="is-api-metadata-endpoints"/>
    <w:p>
      <w:pPr>
        <w:pStyle w:val="Heading2"/>
      </w:pPr>
      <w:r>
        <w:rPr>
          <w:rStyle w:val="SectionNumber"/>
        </w:rPr>
        <w:t xml:space="preserve">6.4</w:t>
      </w:r>
      <w:r>
        <w:tab/>
      </w:r>
      <w:r>
        <w:t xml:space="preserve">IS-API Metadata Endpoints</w:t>
      </w:r>
    </w:p>
    <w:p>
      <w:pPr>
        <w:pStyle w:val="FirstParagraph"/>
      </w:pPr>
      <w:r>
        <w:t xml:space="preserve">IS-API provides metadata endpoints that allow researchers to explore the available data before conducting biological analyses (</w:t>
      </w:r>
      <w:r>
        <w:rPr>
          <w:bCs/>
          <w:b/>
        </w:rPr>
        <w:t xml:space="preserve">Table 4</w:t>
      </w:r>
      <w:r>
        <w:t xml:space="preserve">).</w:t>
      </w:r>
    </w:p>
    <w:p>
      <w:pPr>
        <w:pStyle w:val="BodyText"/>
      </w:pPr>
      <w:r>
        <w:rPr>
          <w:bCs/>
          <w:b/>
        </w:rPr>
        <w:t xml:space="preserve">Table 4.</w:t>
      </w:r>
      <w:r>
        <w:t xml:space="preserve"> </w:t>
      </w:r>
      <w:r>
        <w:t xml:space="preserve">IS-API metadata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Description</w:t>
            </w:r>
          </w:p>
        </w:tc>
        <w:tc>
          <w:tcPr/>
          <w:p>
            <w:pPr>
              <w:pStyle w:val="Compact"/>
              <w:jc w:val="left"/>
            </w:pPr>
            <w:r>
              <w:t xml:space="preserve">Example Query Filters</w:t>
            </w:r>
          </w:p>
        </w:tc>
      </w:tr>
      <w:tr>
        <w:tc>
          <w:tcPr/>
          <w:p>
            <w:pPr>
              <w:pStyle w:val="Compact"/>
              <w:jc w:val="left"/>
            </w:pPr>
            <w:r>
              <w:t xml:space="preserve">metadata</w:t>
            </w:r>
          </w:p>
        </w:tc>
        <w:tc>
          <w:tcPr/>
          <w:p>
            <w:pPr>
              <w:pStyle w:val="Compact"/>
              <w:jc w:val="left"/>
            </w:pPr>
            <w:r>
              <w:t xml:space="preserve">Returns available metadata fields and values per individual across all databases</w:t>
            </w:r>
          </w:p>
        </w:tc>
        <w:tc>
          <w:tcPr/>
          <w:p>
            <w:pPr>
              <w:pStyle w:val="Compact"/>
              <w:jc w:val="left"/>
            </w:pPr>
            <w:r>
              <w:t xml:space="preserve">database, tissue, disease_stage</w:t>
            </w:r>
          </w:p>
        </w:tc>
      </w:tr>
      <w:tr>
        <w:tc>
          <w:tcPr/>
          <w:p>
            <w:pPr>
              <w:pStyle w:val="Compact"/>
              <w:jc w:val="left"/>
            </w:pPr>
            <w:r>
              <w:t xml:space="preserve">subjects</w:t>
            </w:r>
          </w:p>
        </w:tc>
        <w:tc>
          <w:tcPr/>
          <w:p>
            <w:pPr>
              <w:pStyle w:val="Compact"/>
              <w:jc w:val="left"/>
            </w:pPr>
            <w:r>
              <w:t xml:space="preserve">Lists individuals matching specified metadata criteria</w:t>
            </w:r>
          </w:p>
        </w:tc>
        <w:tc>
          <w:tcPr/>
          <w:p>
            <w:pPr>
              <w:pStyle w:val="Compact"/>
              <w:jc w:val="left"/>
            </w:pPr>
            <w:r>
              <w:t xml:space="preserve">disease_stage, sex, age, tissue</w:t>
            </w:r>
          </w:p>
        </w:tc>
      </w:tr>
      <w:tr>
        <w:tc>
          <w:tcPr/>
          <w:p>
            <w:pPr>
              <w:pStyle w:val="Compact"/>
              <w:jc w:val="left"/>
            </w:pPr>
            <w:r>
              <w:t xml:space="preserve">samples</w:t>
            </w:r>
          </w:p>
        </w:tc>
        <w:tc>
          <w:tcPr/>
          <w:p>
            <w:pPr>
              <w:pStyle w:val="Compact"/>
              <w:jc w:val="left"/>
            </w:pPr>
            <w:r>
              <w:t xml:space="preserve">Lists samples (repertoires) per individual with associated metadata</w:t>
            </w:r>
          </w:p>
        </w:tc>
        <w:tc>
          <w:tcPr/>
          <w:p>
            <w:pPr>
              <w:pStyle w:val="Compact"/>
              <w:jc w:val="left"/>
            </w:pPr>
            <w:r>
              <w:t xml:space="preserve">tissue, cell_type, sample_processing</w:t>
            </w:r>
          </w:p>
        </w:tc>
      </w:tr>
      <w:tr>
        <w:tc>
          <w:tcPr/>
          <w:p>
            <w:pPr>
              <w:pStyle w:val="Compact"/>
              <w:jc w:val="left"/>
            </w:pPr>
            <w:r>
              <w:t xml:space="preserve">studies</w:t>
            </w:r>
          </w:p>
        </w:tc>
        <w:tc>
          <w:tcPr/>
          <w:p>
            <w:pPr>
              <w:pStyle w:val="Compact"/>
              <w:jc w:val="left"/>
            </w:pPr>
            <w:r>
              <w:t xml:space="preserve">Returns study-level information (title, lab, species, sequencing platform)</w:t>
            </w:r>
          </w:p>
        </w:tc>
        <w:tc>
          <w:tcPr/>
          <w:p>
            <w:pPr>
              <w:pStyle w:val="Compact"/>
              <w:jc w:val="left"/>
            </w:pPr>
            <w:r>
              <w:t xml:space="preserve">database name</w:t>
            </w:r>
          </w:p>
        </w:tc>
      </w:tr>
    </w:tbl>
    <w:bookmarkEnd w:id="35"/>
    <w:bookmarkStart w:id="45" w:name="is-api-architecture-and-implementation"/>
    <w:p>
      <w:pPr>
        <w:pStyle w:val="Heading2"/>
      </w:pPr>
      <w:r>
        <w:rPr>
          <w:rStyle w:val="SectionNumber"/>
        </w:rPr>
        <w:t xml:space="preserve">6.5</w:t>
      </w:r>
      <w:r>
        <w:tab/>
      </w: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w:t>
      </w:r>
    </w:p>
    <w:p>
      <w:pPr>
        <w:pStyle w:val="BodyText"/>
      </w:pPr>
      <w:r>
        <w:t xml:space="preserve">All endpoints are designed as POST requests. The request body contains two JSON objects:</w:t>
      </w:r>
    </w:p>
    <w:p>
      <w:pPr>
        <w:numPr>
          <w:ilvl w:val="0"/>
          <w:numId w:val="1003"/>
        </w:numPr>
        <w:pStyle w:val="Compact"/>
      </w:pPr>
      <w:r>
        <w:rPr>
          <w:bCs/>
          <w:b/>
        </w:rPr>
        <w:t xml:space="preserve">repertoires</w:t>
      </w:r>
      <w:r>
        <w:t xml:space="preserve">: specifies the metadata filters using two parallel arrays —</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Each entry in</w:t>
      </w:r>
      <w:r>
        <w:t xml:space="preserve"> </w:t>
      </w:r>
      <w:r>
        <w:rPr>
          <w:rStyle w:val="VerbatimChar"/>
        </w:rPr>
        <w:t xml:space="preserve">meta_key</w:t>
      </w:r>
      <w:r>
        <w:t xml:space="preserve"> </w:t>
      </w:r>
      <w:r>
        <w:t xml:space="preserve">names a metadata dimension (e.g.,</w:t>
      </w:r>
      <w:r>
        <w:t xml:space="preserve"> </w:t>
      </w:r>
      <w:r>
        <w:rPr>
          <w:rStyle w:val="VerbatimChar"/>
        </w:rPr>
        <w:t xml:space="preserve">"disease_stage"</w:t>
      </w:r>
      <w:r>
        <w:t xml:space="preserve">,</w:t>
      </w:r>
      <w:r>
        <w:t xml:space="preserve"> </w:t>
      </w:r>
      <w:r>
        <w:rPr>
          <w:rStyle w:val="VerbatimChar"/>
        </w:rPr>
        <w:t xml:space="preserve">"tissue"</w:t>
      </w:r>
      <w:r>
        <w:t xml:space="preserve">,</w:t>
      </w:r>
      <w:r>
        <w:t xml:space="preserve"> </w:t>
      </w:r>
      <w:r>
        <w:rPr>
          <w:rStyle w:val="VerbatimChar"/>
        </w:rPr>
        <w:t xml:space="preserve">"sex"</w:t>
      </w:r>
      <w:r>
        <w:t xml:space="preserve">), and the corresponding entry in</w:t>
      </w:r>
      <w:r>
        <w:t xml:space="preserve"> </w:t>
      </w:r>
      <w:r>
        <w:rPr>
          <w:rStyle w:val="VerbatimChar"/>
        </w:rPr>
        <w:t xml:space="preserve">meta_value</w:t>
      </w:r>
      <w:r>
        <w:t xml:space="preserve"> </w:t>
      </w:r>
      <w:r>
        <w:t xml:space="preserve">specifies the desired value (e.g.,</w:t>
      </w:r>
      <w:r>
        <w:t xml:space="preserve"> </w:t>
      </w:r>
      <w:r>
        <w:rPr>
          <w:rStyle w:val="VerbatimChar"/>
        </w:rPr>
        <w:t xml:space="preserve">"severe"</w:t>
      </w:r>
      <w:r>
        <w:t xml:space="preserve">,</w:t>
      </w:r>
      <w:r>
        <w:t xml:space="preserve"> </w:t>
      </w:r>
      <w:r>
        <w:rPr>
          <w:rStyle w:val="VerbatimChar"/>
        </w:rPr>
        <w:t xml:space="preserve">"blood"</w:t>
      </w:r>
      <w:r>
        <w:t xml:space="preserve">,</w:t>
      </w:r>
      <w:r>
        <w:t xml:space="preserve"> </w:t>
      </w:r>
      <w:r>
        <w:rPr>
          <w:rStyle w:val="VerbatimChar"/>
        </w:rPr>
        <w:t xml:space="preserve">"M"</w:t>
      </w:r>
      <w:r>
        <w:t xml:space="preserve">). Setting a value to</w:t>
      </w:r>
      <w:r>
        <w:t xml:space="preserve"> </w:t>
      </w:r>
      <w:r>
        <w:rPr>
          <w:rStyle w:val="VerbatimChar"/>
        </w:rPr>
        <w:t xml:space="preserve">"ALL"</w:t>
      </w:r>
      <w:r>
        <w:t xml:space="preserve"> </w:t>
      </w:r>
      <w:r>
        <w:t xml:space="preserve">returns all non-NA values for that dimension. Multiple keys can be specified simultaneously to perform cross-stratified queries — for example, filtering by both disease stage and tissue in a single request.</w:t>
      </w:r>
    </w:p>
    <w:p>
      <w:pPr>
        <w:numPr>
          <w:ilvl w:val="0"/>
          <w:numId w:val="1003"/>
        </w:numPr>
        <w:pStyle w:val="Compact"/>
      </w:pPr>
      <w:r>
        <w:rPr>
          <w:bCs/>
          <w:b/>
        </w:rPr>
        <w:t xml:space="preserve">statistics</w:t>
      </w:r>
      <w:r>
        <w:t xml:space="preserve">: an array containing the name of the statistical measure to compute (e.g.,</w:t>
      </w:r>
      <w:r>
        <w:t xml:space="preserve"> </w:t>
      </w:r>
      <w:r>
        <w:rPr>
          <w:rStyle w:val="VerbatimChar"/>
        </w:rPr>
        <w:t xml:space="preserve">["clone_count"]</w:t>
      </w:r>
      <w:r>
        <w:t xml:space="preserve">). Some endpoints accept additional parameters such as</w:t>
      </w:r>
      <w:r>
        <w:t xml:space="preserve"> </w:t>
      </w:r>
      <w:r>
        <w:rPr>
          <w:rStyle w:val="VerbatimChar"/>
        </w:rPr>
        <w:t xml:space="preserve">min_clone_size</w:t>
      </w:r>
      <w:r>
        <w:t xml:space="preserve"> </w:t>
      </w:r>
      <w:r>
        <w:t xml:space="preserve">for clone-size-stratified analyses.</w:t>
      </w:r>
    </w:p>
    <w:p>
      <w:pPr>
        <w:pStyle w:val="FirstParagraph"/>
      </w:pPr>
      <w:r>
        <w:t xml:space="preserve">An example POST request querying CDR3 length by clone size for blood samples across all disease stages:</w:t>
      </w:r>
    </w:p>
    <w:p>
      <w:pPr>
        <w:pStyle w:val="SourceCode"/>
      </w:pPr>
      <w:r>
        <w:rPr>
          <w:rStyle w:val="FunctionTok"/>
        </w:rPr>
        <w:t xml:space="preserve">{</w:t>
      </w:r>
      <w:r>
        <w:br/>
      </w:r>
      <w:r>
        <w:rPr>
          <w:rStyle w:val="NormalTok"/>
        </w:rPr>
        <w:t xml:space="preserve">  </w:t>
      </w:r>
      <w:r>
        <w:rPr>
          <w:rStyle w:val="DataTypeTok"/>
        </w:rPr>
        <w:t xml:space="preserve">"repertoires"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"ALL"</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rPr>
          <w:rStyle w:val="StringTok"/>
        </w:rPr>
        <w:t xml:space="preserve">"cdr3_by_clone_size"</w:t>
      </w:r>
      <w:r>
        <w:rPr>
          <w:rStyle w:val="OtherTok"/>
        </w:rPr>
        <w:t xml:space="preserve">]</w:t>
      </w:r>
      <w:r>
        <w:rPr>
          <w:rStyle w:val="FunctionTok"/>
        </w:rPr>
        <w:t xml:space="preserve">,</w:t>
      </w:r>
      <w:r>
        <w:br/>
      </w:r>
      <w:r>
        <w:rPr>
          <w:rStyle w:val="NormalTok"/>
        </w:rPr>
        <w:t xml:space="preserve">  </w:t>
      </w:r>
      <w:r>
        <w:rPr>
          <w:rStyle w:val="DataTypeTok"/>
        </w:rPr>
        <w:t xml:space="preserve">"min_clone_size"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"min_expanded_clones"</w:t>
      </w:r>
      <w:r>
        <w:rPr>
          <w:rStyle w:val="FunctionTok"/>
        </w:rPr>
        <w:t xml:space="preserve">:</w:t>
      </w:r>
      <w:r>
        <w:rPr>
          <w:rStyle w:val="NormalTok"/>
        </w:rPr>
        <w:t xml:space="preserve"> </w:t>
      </w:r>
      <w:r>
        <w:rPr>
          <w:rStyle w:val="DecValTok"/>
        </w:rPr>
        <w:t xml:space="preserve">0</w:t>
      </w:r>
      <w:r>
        <w:br/>
      </w:r>
      <w:r>
        <w:rPr>
          <w:rStyle w:val="FunctionTok"/>
        </w:rPr>
        <w:t xml:space="preserve">}</w:t>
      </w:r>
    </w:p>
    <w:p>
      <w:pPr>
        <w:pStyle w:val="FirstParagraph"/>
      </w:pPr>
      <w:r>
        <w:t xml:space="preserve">The response follows a standardized JSON structure:</w:t>
      </w:r>
    </w:p>
    <w:p>
      <w:pPr>
        <w:pStyle w:val="SourceCode"/>
      </w:pPr>
      <w:r>
        <w:rPr>
          <w:rStyle w:val="FunctionTok"/>
        </w:rPr>
        <w:t xml:space="preserve">{</w:t>
      </w:r>
      <w:r>
        <w:br/>
      </w:r>
      <w:r>
        <w:rPr>
          <w:rStyle w:val="NormalTok"/>
        </w:rPr>
        <w:t xml:space="preserve">  </w:t>
      </w:r>
      <w:r>
        <w:rPr>
          <w:rStyle w:val="DataTypeTok"/>
        </w:rPr>
        <w:t xml:space="preserve">"Info"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"iReceptorPlus Statistics API"</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"0.3.0"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"Statistics API for the iReceptor Plus platform"</w:t>
      </w:r>
      <w:r>
        <w:br/>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"repertoire"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"repertoire_id"</w:t>
      </w:r>
      <w:r>
        <w:rPr>
          <w:rStyle w:val="FunctionTok"/>
        </w:rPr>
        <w:t xml:space="preserve">:</w:t>
      </w:r>
      <w:r>
        <w:rPr>
          <w:rStyle w:val="NormalTok"/>
        </w:rPr>
        <w:t xml:space="preserve"> </w:t>
      </w:r>
      <w:r>
        <w:rPr>
          <w:rStyle w:val="StringTok"/>
        </w:rPr>
        <w:t xml:space="preserve">"covid19-S24"</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"severe"</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"statistic_name"</w:t>
      </w:r>
      <w:r>
        <w:rPr>
          <w:rStyle w:val="FunctionTok"/>
        </w:rPr>
        <w:t xml:space="preserve">:</w:t>
      </w:r>
      <w:r>
        <w:rPr>
          <w:rStyle w:val="NormalTok"/>
        </w:rPr>
        <w:t xml:space="preserve"> </w:t>
      </w:r>
      <w:r>
        <w:rPr>
          <w:rStyle w:val="StringTok"/>
        </w:rPr>
        <w:t xml:space="preserve">"cdr3_by_clone_size"</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"stats_value"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17.78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1536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18.17</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16579</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Each entry in the</w:t>
      </w:r>
      <w:r>
        <w:t xml:space="preserve"> </w:t>
      </w:r>
      <w:r>
        <w:rPr>
          <w:rStyle w:val="VerbatimChar"/>
        </w:rPr>
        <w:t xml:space="preserve">Result</w:t>
      </w:r>
      <w:r>
        <w:t xml:space="preserve"> </w:t>
      </w:r>
      <w:r>
        <w:t xml:space="preserve">array corresponds to one individual matching the metadata filters. The</w:t>
      </w:r>
      <w:r>
        <w:t xml:space="preserve"> </w:t>
      </w:r>
      <w:r>
        <w:rPr>
          <w:rStyle w:val="VerbatimChar"/>
        </w:rPr>
        <w:t xml:space="preserve">repertoire</w:t>
      </w:r>
      <w:r>
        <w:t xml:space="preserve"> </w:t>
      </w:r>
      <w:r>
        <w:t xml:space="preserve">object echoes the matched metadata (database, individual identifier, and the key-value pairs), while the</w:t>
      </w:r>
      <w:r>
        <w:t xml:space="preserve"> </w:t>
      </w:r>
      <w:r>
        <w:rPr>
          <w:rStyle w:val="VerbatimChar"/>
        </w:rPr>
        <w:t xml:space="preserve">statistics</w:t>
      </w:r>
      <w:r>
        <w:t xml:space="preserve"> </w:t>
      </w:r>
      <w:r>
        <w:t xml:space="preserve">array contains the computed values as name-value pairs in</w:t>
      </w:r>
      <w:r>
        <w:t xml:space="preserve"> </w:t>
      </w:r>
      <w:r>
        <w:rPr>
          <w:rStyle w:val="VerbatimChar"/>
        </w:rPr>
        <w:t xml:space="preserve">stats_value</w:t>
      </w:r>
      <w:r>
        <w:t xml:space="preserve">. This structure is consistent across all endpoints, enabling uniform parsing regardless of the statistic queried.</w:t>
      </w:r>
    </w:p>
    <w:p>
      <w:pPr>
        <w:pStyle w:val="BodyText"/>
      </w:pPr>
      <w:r>
        <w:t xml:space="preserve">The full set of available statistical queries is detailed below in</w:t>
      </w:r>
      <w:r>
        <w:t xml:space="preserve"> </w:t>
      </w:r>
      <w:r>
        <w:rPr>
          <w:bCs/>
          <w:b/>
        </w:rPr>
        <w:t xml:space="preserve">Table 5</w:t>
      </w:r>
      <w:r>
        <w:t xml:space="preserve">, organized by endpoint controller. All endpoints accept</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w:t>
      </w:r>
      <w:r>
        <w:t xml:space="preserve">arrays as their primary parameters for metadata filtering, enabling cross-stratified queries (e.g., mutation levels by disease stage and sex simultaneously). Version 0.3.0 introduced CTE-based queries (sampleMetaCTE) that first identify all samples matching the requested metadata for each individual, then aggregate statistics across those samples, ensuring correct per-individual results regardless of the number of samples or time points available.</w:t>
      </w:r>
    </w:p>
    <w:p>
      <w:pPr>
        <w:pStyle w:val="BodyText"/>
      </w:pPr>
      <w:r>
        <w:rPr>
          <w:bCs/>
          <w:b/>
        </w:rPr>
        <w:t xml:space="preserve">Table 5.</w:t>
      </w:r>
      <w:r>
        <w:t xml:space="preserve"> </w:t>
      </w:r>
      <w:r>
        <w:t xml:space="preserve">IS-API v0.3.0 statistical endpoints — parameters, returns, and configurable options.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Controller</w:t>
            </w:r>
          </w:p>
        </w:tc>
        <w:tc>
          <w:tcPr/>
          <w:p>
            <w:pPr>
              <w:pStyle w:val="Compact"/>
              <w:jc w:val="left"/>
            </w:pPr>
            <w:r>
              <w:t xml:space="preserve">Statistic</w:t>
            </w:r>
          </w:p>
        </w:tc>
        <w:tc>
          <w:tcPr/>
          <w:p>
            <w:pPr>
              <w:pStyle w:val="Compact"/>
              <w:jc w:val="left"/>
            </w:pPr>
            <w:r>
              <w:t xml:space="preserve">Parameters</w:t>
            </w:r>
          </w:p>
        </w:tc>
        <w:tc>
          <w:tcPr/>
          <w:p>
            <w:pPr>
              <w:pStyle w:val="Compact"/>
              <w:jc w:val="left"/>
            </w:pPr>
            <w:r>
              <w:t xml:space="preserve">Returns (per individual)</w:t>
            </w:r>
          </w:p>
        </w:tc>
        <w:tc>
          <w:tcPr/>
          <w:p>
            <w:pPr>
              <w:pStyle w:val="Compact"/>
              <w:jc w:val="left"/>
            </w:pPr>
            <w:r>
              <w:t xml:space="preserve">Configurable</w:t>
            </w:r>
          </w:p>
        </w:tc>
      </w:tr>
      <w:tr>
        <w:tc>
          <w:tcPr/>
          <w:p>
            <w:pPr>
              <w:pStyle w:val="Compact"/>
              <w:jc w:val="left"/>
            </w:pPr>
            <w:r>
              <w:rPr>
                <w:bCs/>
                <w:b/>
              </w:rPr>
              <w:t xml:space="preserve">Clones</w:t>
            </w:r>
          </w:p>
        </w:tc>
        <w:tc>
          <w:tcPr/>
          <w:p>
            <w:pPr>
              <w:pStyle w:val="Compact"/>
              <w:jc w:val="left"/>
            </w:pPr>
            <w:r>
              <w:t xml:space="preserve">clone_count</w:t>
            </w:r>
          </w:p>
        </w:tc>
        <w:tc>
          <w:tcPr/>
          <w:p>
            <w:pPr>
              <w:pStyle w:val="Compact"/>
              <w:jc w:val="left"/>
            </w:pPr>
            <w:r>
              <w:t xml:space="preserve">meta_key, meta_value</w:t>
            </w:r>
          </w:p>
        </w:tc>
        <w:tc>
          <w:tcPr/>
          <w:p>
            <w:pPr>
              <w:pStyle w:val="Compact"/>
              <w:jc w:val="left"/>
            </w:pPr>
            <w:r>
              <w:t xml:space="preserve">Number of distinct clones exceeding the expansion threshold</w:t>
            </w:r>
          </w:p>
        </w:tc>
        <w:tc>
          <w:tcPr/>
          <w:p>
            <w:pPr>
              <w:pStyle w:val="Compact"/>
              <w:jc w:val="left"/>
            </w:pPr>
            <w:r>
              <w:t xml:space="preserve">Expansion threshold (default: ≥20 unique sequences)</w:t>
            </w:r>
          </w:p>
        </w:tc>
      </w:tr>
      <w:tr>
        <w:tc>
          <w:tcPr/>
          <w:p>
            <w:pPr>
              <w:pStyle w:val="Compact"/>
            </w:pPr>
          </w:p>
        </w:tc>
        <w:tc>
          <w:tcPr/>
          <w:p>
            <w:pPr>
              <w:pStyle w:val="Compact"/>
              <w:jc w:val="left"/>
            </w:pPr>
            <w:r>
              <w:t xml:space="preserve">clone_size</w:t>
            </w:r>
          </w:p>
        </w:tc>
        <w:tc>
          <w:tcPr/>
          <w:p>
            <w:pPr>
              <w:pStyle w:val="Compact"/>
              <w:jc w:val="left"/>
            </w:pPr>
            <w:r>
              <w:t xml:space="preserve">meta_key, meta_value</w:t>
            </w:r>
          </w:p>
        </w:tc>
        <w:tc>
          <w:tcPr/>
          <w:p>
            <w:pPr>
              <w:pStyle w:val="Compact"/>
              <w:jc w:val="left"/>
            </w:pPr>
            <w:r>
              <w:t xml:space="preserve">Size of each clone as a distribution</w:t>
            </w:r>
          </w:p>
        </w:tc>
        <w:tc>
          <w:tcPr/>
          <w:p>
            <w:pPr>
              <w:pStyle w:val="Compact"/>
              <w:jc w:val="left"/>
            </w:pPr>
            <w:r>
              <w:t xml:space="preserve">Measure: unique sequences, instances, or copy number</w:t>
            </w:r>
          </w:p>
        </w:tc>
      </w:tr>
      <w:tr>
        <w:tc>
          <w:tcPr/>
          <w:p>
            <w:pPr>
              <w:pStyle w:val="Compact"/>
            </w:pPr>
          </w:p>
        </w:tc>
        <w:tc>
          <w:tcPr/>
          <w:p>
            <w:pPr>
              <w:pStyle w:val="Compact"/>
              <w:jc w:val="left"/>
            </w:pPr>
            <w:r>
              <w:t xml:space="preserve">clone_size_copies</w:t>
            </w:r>
          </w:p>
        </w:tc>
        <w:tc>
          <w:tcPr/>
          <w:p>
            <w:pPr>
              <w:pStyle w:val="Compact"/>
              <w:jc w:val="left"/>
            </w:pPr>
            <w:r>
              <w:t xml:space="preserve">meta_key, meta_value</w:t>
            </w:r>
          </w:p>
        </w:tc>
        <w:tc>
          <w:tcPr/>
          <w:p>
            <w:pPr>
              <w:pStyle w:val="Compact"/>
              <w:jc w:val="left"/>
            </w:pPr>
            <w:r>
              <w:t xml:space="preserve">Size of each clone measured by raw read counts</w:t>
            </w:r>
          </w:p>
        </w:tc>
        <w:tc>
          <w:tcPr/>
          <w:p>
            <w:pPr>
              <w:pStyle w:val="Compact"/>
              <w:jc w:val="left"/>
            </w:pPr>
            <w:r>
              <w:t xml:space="preserve">—</w:t>
            </w:r>
          </w:p>
        </w:tc>
      </w:tr>
      <w:tr>
        <w:tc>
          <w:tcPr/>
          <w:p>
            <w:pPr>
              <w:pStyle w:val="Compact"/>
            </w:pPr>
          </w:p>
        </w:tc>
        <w:tc>
          <w:tcPr/>
          <w:p>
            <w:pPr>
              <w:pStyle w:val="Compact"/>
              <w:jc w:val="left"/>
            </w:pPr>
            <w:r>
              <w:t xml:space="preserve">topX_clone_size_copies</w:t>
            </w:r>
          </w:p>
        </w:tc>
        <w:tc>
          <w:tcPr/>
          <w:p>
            <w:pPr>
              <w:pStyle w:val="Compact"/>
              <w:jc w:val="left"/>
            </w:pPr>
            <w:r>
              <w:t xml:space="preserve">meta_key, meta_value</w:t>
            </w:r>
          </w:p>
        </w:tc>
        <w:tc>
          <w:tcPr/>
          <w:p>
            <w:pPr>
              <w:pStyle w:val="Compact"/>
              <w:jc w:val="left"/>
            </w:pPr>
            <w:r>
              <w:t xml:space="preserve">Cumulative sequence copies for the top 10, 100, and 1000 clones</w:t>
            </w:r>
          </w:p>
        </w:tc>
        <w:tc>
          <w:tcPr/>
          <w:p>
            <w:pPr>
              <w:pStyle w:val="Compact"/>
              <w:jc w:val="left"/>
            </w:pPr>
            <w:r>
              <w:t xml:space="preserve">Top X rank</w:t>
            </w:r>
          </w:p>
        </w:tc>
      </w:tr>
      <w:tr>
        <w:tc>
          <w:tcPr/>
          <w:p>
            <w:pPr>
              <w:pStyle w:val="Compact"/>
              <w:jc w:val="left"/>
            </w:pPr>
            <w:r>
              <w:rPr>
                <w:bCs/>
                <w:b/>
              </w:rPr>
              <w:t xml:space="preserve">Mutations</w:t>
            </w:r>
          </w:p>
        </w:tc>
        <w:tc>
          <w:tcPr/>
          <w:p>
            <w:pPr>
              <w:pStyle w:val="Compact"/>
              <w:jc w:val="left"/>
            </w:pPr>
            <w:r>
              <w:t xml:space="preserve">topX_mutation_level</w:t>
            </w:r>
          </w:p>
        </w:tc>
        <w:tc>
          <w:tcPr/>
          <w:p>
            <w:pPr>
              <w:pStyle w:val="Compact"/>
              <w:jc w:val="left"/>
            </w:pPr>
            <w:r>
              <w:t xml:space="preserve">meta_key, meta_value</w:t>
            </w:r>
          </w:p>
        </w:tc>
        <w:tc>
          <w:tcPr/>
          <w:p>
            <w:pPr>
              <w:pStyle w:val="Compact"/>
              <w:jc w:val="left"/>
            </w:pPr>
            <w:r>
              <w:t xml:space="preserve">Average mutation count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mutation_by_region</w:t>
            </w:r>
          </w:p>
        </w:tc>
        <w:tc>
          <w:tcPr/>
          <w:p>
            <w:pPr>
              <w:pStyle w:val="Compact"/>
              <w:jc w:val="left"/>
            </w:pPr>
            <w:r>
              <w:t xml:space="preserve">meta_key, meta_value</w:t>
            </w:r>
          </w:p>
        </w:tc>
        <w:tc>
          <w:tcPr/>
          <w:p>
            <w:pPr>
              <w:pStyle w:val="Compact"/>
              <w:jc w:val="left"/>
            </w:pPr>
            <w:r>
              <w:t xml:space="preserve">Average mutation count split by CDR and FW regions</w:t>
            </w:r>
          </w:p>
        </w:tc>
        <w:tc>
          <w:tcPr/>
          <w:p>
            <w:pPr>
              <w:pStyle w:val="Compact"/>
              <w:jc w:val="left"/>
            </w:pPr>
            <w:r>
              <w:t xml:space="preserve">—</w:t>
            </w:r>
          </w:p>
        </w:tc>
      </w:tr>
      <w:tr>
        <w:tc>
          <w:tcPr/>
          <w:p>
            <w:pPr>
              <w:pStyle w:val="Compact"/>
            </w:pPr>
          </w:p>
        </w:tc>
        <w:tc>
          <w:tcPr/>
          <w:p>
            <w:pPr>
              <w:pStyle w:val="Compact"/>
              <w:jc w:val="left"/>
            </w:pPr>
            <w:r>
              <w:t xml:space="preserve">mutation_by_type</w:t>
            </w:r>
          </w:p>
        </w:tc>
        <w:tc>
          <w:tcPr/>
          <w:p>
            <w:pPr>
              <w:pStyle w:val="Compact"/>
              <w:jc w:val="left"/>
            </w:pPr>
            <w:r>
              <w:t xml:space="preserve">meta_key, meta_value</w:t>
            </w:r>
          </w:p>
        </w:tc>
        <w:tc>
          <w:tcPr/>
          <w:p>
            <w:pPr>
              <w:pStyle w:val="Compact"/>
              <w:jc w:val="left"/>
            </w:pPr>
            <w:r>
              <w:t xml:space="preserve">Average non-synonymous and synonymous mutation counts</w:t>
            </w:r>
          </w:p>
        </w:tc>
        <w:tc>
          <w:tcPr/>
          <w:p>
            <w:pPr>
              <w:pStyle w:val="Compact"/>
              <w:jc w:val="left"/>
            </w:pPr>
            <w:r>
              <w:t xml:space="preserve">—</w:t>
            </w:r>
          </w:p>
        </w:tc>
      </w:tr>
      <w:tr>
        <w:tc>
          <w:tcPr/>
          <w:p>
            <w:pPr>
              <w:pStyle w:val="Compact"/>
            </w:pPr>
          </w:p>
        </w:tc>
        <w:tc>
          <w:tcPr/>
          <w:p>
            <w:pPr>
              <w:pStyle w:val="Compact"/>
              <w:jc w:val="left"/>
            </w:pPr>
            <w:r>
              <w:t xml:space="preserve">mutation_cdr_rs_ratio</w:t>
            </w:r>
          </w:p>
        </w:tc>
        <w:tc>
          <w:tcPr/>
          <w:p>
            <w:pPr>
              <w:pStyle w:val="Compact"/>
              <w:jc w:val="left"/>
            </w:pPr>
            <w:r>
              <w:t xml:space="preserve">meta_key, meta_value</w:t>
            </w:r>
          </w:p>
        </w:tc>
        <w:tc>
          <w:tcPr/>
          <w:p>
            <w:pPr>
              <w:pStyle w:val="Compact"/>
              <w:jc w:val="left"/>
            </w:pPr>
            <w:r>
              <w:t xml:space="preserve">NS and S mutation counts in CDR and FW regions separately</w:t>
            </w:r>
          </w:p>
        </w:tc>
        <w:tc>
          <w:tcPr/>
          <w:p>
            <w:pPr>
              <w:pStyle w:val="Compact"/>
              <w:jc w:val="left"/>
            </w:pPr>
            <w:r>
              <w:t xml:space="preserve">—</w:t>
            </w:r>
          </w:p>
        </w:tc>
      </w:tr>
      <w:tr>
        <w:tc>
          <w:tcPr/>
          <w:p>
            <w:pPr>
              <w:pStyle w:val="Compact"/>
            </w:pPr>
          </w:p>
        </w:tc>
        <w:tc>
          <w:tcPr/>
          <w:p>
            <w:pPr>
              <w:pStyle w:val="Compact"/>
              <w:jc w:val="left"/>
            </w:pPr>
            <w:r>
              <w:t xml:space="preserve">mutation_rs_by_clone_size</w:t>
            </w:r>
          </w:p>
        </w:tc>
        <w:tc>
          <w:tcPr/>
          <w:p>
            <w:pPr>
              <w:pStyle w:val="Compact"/>
              <w:jc w:val="left"/>
            </w:pPr>
            <w:r>
              <w:t xml:space="preserve">meta_key, meta_value, min_clone_size, min_expanded_clones</w:t>
            </w:r>
          </w:p>
        </w:tc>
        <w:tc>
          <w:tcPr/>
          <w:p>
            <w:pPr>
              <w:pStyle w:val="Compact"/>
              <w:jc w:val="left"/>
            </w:pPr>
            <w:r>
              <w:t xml:space="preserve">NS and S counts in CDR and FW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CDR3</w:t>
            </w:r>
          </w:p>
        </w:tc>
        <w:tc>
          <w:tcPr/>
          <w:p>
            <w:pPr>
              <w:pStyle w:val="Compact"/>
              <w:jc w:val="left"/>
            </w:pPr>
            <w:r>
              <w:t xml:space="preserve">topX_nt_AVG_CDR3_length</w:t>
            </w:r>
          </w:p>
        </w:tc>
        <w:tc>
          <w:tcPr/>
          <w:p>
            <w:pPr>
              <w:pStyle w:val="Compact"/>
              <w:jc w:val="left"/>
            </w:pPr>
            <w:r>
              <w:t xml:space="preserve">meta_key, meta_value</w:t>
            </w:r>
          </w:p>
        </w:tc>
        <w:tc>
          <w:tcPr/>
          <w:p>
            <w:pPr>
              <w:pStyle w:val="Compact"/>
              <w:jc w:val="left"/>
            </w:pPr>
            <w:r>
              <w:t xml:space="preserve">Average CDR3 nucleotide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topX_AA_AVG_CDR3_length</w:t>
            </w:r>
          </w:p>
        </w:tc>
        <w:tc>
          <w:tcPr/>
          <w:p>
            <w:pPr>
              <w:pStyle w:val="Compact"/>
              <w:jc w:val="left"/>
            </w:pPr>
            <w:r>
              <w:t xml:space="preserve">meta_key, meta_value</w:t>
            </w:r>
          </w:p>
        </w:tc>
        <w:tc>
          <w:tcPr/>
          <w:p>
            <w:pPr>
              <w:pStyle w:val="Compact"/>
              <w:jc w:val="left"/>
            </w:pPr>
            <w:r>
              <w:t xml:space="preserve">Average CDR3 amino acid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cdr3_length_distribution</w:t>
            </w:r>
          </w:p>
        </w:tc>
        <w:tc>
          <w:tcPr/>
          <w:p>
            <w:pPr>
              <w:pStyle w:val="Compact"/>
              <w:jc w:val="left"/>
            </w:pPr>
            <w:r>
              <w:t xml:space="preserve">meta_key, meta_value</w:t>
            </w:r>
          </w:p>
        </w:tc>
        <w:tc>
          <w:tcPr/>
          <w:p>
            <w:pPr>
              <w:pStyle w:val="Compact"/>
              <w:jc w:val="left"/>
            </w:pPr>
            <w:r>
              <w:t xml:space="preserve">Mean, SD, and clone count for CDR3 length (AA and nt)</w:t>
            </w:r>
          </w:p>
        </w:tc>
        <w:tc>
          <w:tcPr/>
          <w:p>
            <w:pPr>
              <w:pStyle w:val="Compact"/>
              <w:jc w:val="left"/>
            </w:pPr>
            <w:r>
              <w:t xml:space="preserve">—</w:t>
            </w:r>
          </w:p>
        </w:tc>
      </w:tr>
      <w:tr>
        <w:tc>
          <w:tcPr/>
          <w:p>
            <w:pPr>
              <w:pStyle w:val="Compact"/>
            </w:pPr>
          </w:p>
        </w:tc>
        <w:tc>
          <w:tcPr/>
          <w:p>
            <w:pPr>
              <w:pStyle w:val="Compact"/>
              <w:jc w:val="left"/>
            </w:pPr>
            <w:r>
              <w:t xml:space="preserve">cdr3_by_clone_size</w:t>
            </w:r>
          </w:p>
        </w:tc>
        <w:tc>
          <w:tcPr/>
          <w:p>
            <w:pPr>
              <w:pStyle w:val="Compact"/>
              <w:jc w:val="left"/>
            </w:pPr>
            <w:r>
              <w:t xml:space="preserve">meta_key, meta_value, min_clone_size, min_expanded_clones</w:t>
            </w:r>
          </w:p>
        </w:tc>
        <w:tc>
          <w:tcPr/>
          <w:p>
            <w:pPr>
              <w:pStyle w:val="Compact"/>
              <w:jc w:val="left"/>
            </w:pPr>
            <w:r>
              <w:t xml:space="preserve">Mean and SD of CDR3 length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Gene Usage</w:t>
            </w:r>
          </w:p>
        </w:tc>
        <w:tc>
          <w:tcPr/>
          <w:p>
            <w:pPr>
              <w:pStyle w:val="Compact"/>
              <w:jc w:val="left"/>
            </w:pPr>
            <w:r>
              <w:t xml:space="preserve">v_gene_usage</w:t>
            </w:r>
          </w:p>
        </w:tc>
        <w:tc>
          <w:tcPr/>
          <w:p>
            <w:pPr>
              <w:pStyle w:val="Compact"/>
              <w:jc w:val="left"/>
            </w:pPr>
            <w:r>
              <w:t xml:space="preserve">meta_key, meta_value</w:t>
            </w:r>
          </w:p>
        </w:tc>
        <w:tc>
          <w:tcPr/>
          <w:p>
            <w:pPr>
              <w:pStyle w:val="Compact"/>
              <w:jc w:val="left"/>
            </w:pPr>
            <w:r>
              <w:t xml:space="preserve">Clone count and total copies per V gene segment</w:t>
            </w:r>
          </w:p>
        </w:tc>
        <w:tc>
          <w:tcPr/>
          <w:p>
            <w:pPr>
              <w:pStyle w:val="Compact"/>
              <w:jc w:val="left"/>
            </w:pPr>
            <w:r>
              <w:t xml:space="preserve">—</w:t>
            </w:r>
          </w:p>
        </w:tc>
      </w:tr>
    </w:tbl>
    <w:p>
      <w:pPr>
        <w:pStyle w:val="BodyText"/>
      </w:pPr>
      <w:r>
        <w:rPr>
          <w:bCs/>
          <w:b/>
        </w:rPr>
        <w:t xml:space="preserve">Configurable parameters.</w:t>
      </w:r>
      <w:r>
        <w:t xml:space="preserve"> </w:t>
      </w:r>
      <w:r>
        <w:t xml:space="preserve">IS-API is designed to give researchers control over key analysis parameters through the request body, rather than imposing fixed values. The configurable parameters include: (1)</w:t>
      </w:r>
      <w:r>
        <w:t xml:space="preserve"> </w:t>
      </w:r>
      <w:r>
        <w:rPr>
          <w:iCs/>
          <w:i/>
        </w:rPr>
        <w:t xml:space="preserve">clone_size</w:t>
      </w:r>
      <w:r>
        <w:t xml:space="preserve"> </w:t>
      </w:r>
      <w:r>
        <w:t xml:space="preserve">supports three measurement modes — unique sequences (distinct sequences across an entire individual, reflecting overall diversity), instances (distinct sequences within a single sample, capturing sample-level diversity), or copy number (raw read counts, reflecting sequence abundance); (2) the expansion threshold in</w:t>
      </w:r>
      <w:r>
        <w:t xml:space="preserve"> </w:t>
      </w:r>
      <w:r>
        <w:rPr>
          <w:iCs/>
          <w:i/>
        </w:rPr>
        <w:t xml:space="preserve">clone_count</w:t>
      </w:r>
      <w:r>
        <w:t xml:space="preserve"> </w:t>
      </w:r>
      <w:r>
        <w:t xml:space="preserve">and the clone-size-stratified endpoints (</w:t>
      </w:r>
      <w:r>
        <w:rPr>
          <w:iCs/>
          <w:i/>
        </w:rPr>
        <w:t xml:space="preserve">cdr3_by_clone_size</w:t>
      </w:r>
      <w:r>
        <w:t xml:space="preserve">,</w:t>
      </w:r>
      <w:r>
        <w:t xml:space="preserve"> </w:t>
      </w:r>
      <w:r>
        <w:rPr>
          <w:iCs/>
          <w:i/>
        </w:rPr>
        <w:t xml:space="preserve">mutation_rs_by_clone_size</w:t>
      </w:r>
      <w:r>
        <w:t xml:space="preserve">) is set via the</w:t>
      </w:r>
      <w:r>
        <w:t xml:space="preserve"> </w:t>
      </w:r>
      <w:r>
        <w:rPr>
          <w:rStyle w:val="VerbatimChar"/>
        </w:rPr>
        <w:t xml:space="preserve">min_clone_size</w:t>
      </w:r>
      <w:r>
        <w:t xml:space="preserve"> </w:t>
      </w:r>
      <w:r>
        <w:t xml:space="preserve">parameter (default: 20), allowing researchers to define what constitutes an</w:t>
      </w:r>
      <w:r>
        <w:t xml:space="preserve"> </w:t>
      </w:r>
      <w:r>
        <w:t xml:space="preserve">“</w:t>
      </w:r>
      <w:r>
        <w:t xml:space="preserve">expanded</w:t>
      </w:r>
      <w:r>
        <w:t xml:space="preserve">”</w:t>
      </w:r>
      <w:r>
        <w:t xml:space="preserve"> </w:t>
      </w:r>
      <w:r>
        <w:t xml:space="preserve">clone at any threshold; (3) a</w:t>
      </w:r>
      <w:r>
        <w:t xml:space="preserve"> </w:t>
      </w:r>
      <w:r>
        <w:rPr>
          <w:rStyle w:val="VerbatimChar"/>
        </w:rPr>
        <w:t xml:space="preserve">min_expanded_clones</w:t>
      </w:r>
      <w:r>
        <w:t xml:space="preserve"> </w:t>
      </w:r>
      <w:r>
        <w:t xml:space="preserve">parameter filters out individuals with too few expanded clones at the chosen threshold; (4) the Top X ranks in the</w:t>
      </w:r>
      <w:r>
        <w:t xml:space="preserve"> </w:t>
      </w:r>
      <w:r>
        <w:rPr>
          <w:iCs/>
          <w:i/>
        </w:rPr>
        <w:t xml:space="preserve">topX</w:t>
      </w:r>
      <w:r>
        <w:t xml:space="preserve"> </w:t>
      </w:r>
      <w:r>
        <w:t xml:space="preserve">endpoints (default: 10, 100, 1000) can be adjusted to examine clones at different ranks of the size distribution; (5) all endpoints accept arbitrary</w:t>
      </w:r>
      <w:r>
        <w:t xml:space="preserve"> </w:t>
      </w:r>
      <w:r>
        <w:rPr>
          <w:rStyle w:val="VerbatimChar"/>
        </w:rPr>
        <w:t xml:space="preserve">meta_key</w:t>
      </w:r>
      <w:r>
        <w:t xml:space="preserve">/</w:t>
      </w:r>
      <w:r>
        <w:rPr>
          <w:rStyle w:val="VerbatimChar"/>
        </w:rPr>
        <w:t xml:space="preserve">meta_value</w:t>
      </w:r>
      <w:r>
        <w:t xml:space="preserve"> </w:t>
      </w:r>
      <w:r>
        <w:t xml:space="preserve">combinations for cross-stratified filtering.</w:t>
      </w:r>
    </w:p>
    <w:p>
      <w:pPr>
        <w:pStyle w:val="BodyText"/>
      </w:pPr>
      <w:r>
        <w:t xml:space="preserve">CDR and FW region boundaries follow the ImmuneDB database schema, where CDR is defined as the sum of CDR1, CDR2, and CDR3 regions, and FW is defined as FW1 + FW2 + FW3 + FW4. These boundaries are determined by the upstream IgBLAST annotation and stored in the ImmuneDB</w:t>
      </w:r>
      <w:r>
        <w:t xml:space="preserve"> </w:t>
      </w:r>
      <w:r>
        <w:rPr>
          <w:rStyle w:val="VerbatimChar"/>
        </w:rPr>
        <w:t xml:space="preserve">clone_stats.mutations</w:t>
      </w:r>
      <w:r>
        <w:t xml:space="preserve"> </w:t>
      </w:r>
      <w:r>
        <w:t xml:space="preserve">JSON field, so they are not adjustable at the API level.</w:t>
      </w:r>
    </w:p>
    <w:bookmarkEnd w:id="45"/>
    <w:bookmarkStart w:id="46" w:name="biological-statistical-measures"/>
    <w:p>
      <w:pPr>
        <w:pStyle w:val="Heading2"/>
      </w:pPr>
      <w:r>
        <w:rPr>
          <w:rStyle w:val="SectionNumber"/>
        </w:rPr>
        <w:t xml:space="preserve">6.6</w:t>
      </w:r>
      <w:r>
        <w:tab/>
      </w:r>
      <w:r>
        <w:t xml:space="preserve">Biological Statistical Measures</w:t>
      </w:r>
    </w:p>
    <w:p>
      <w:pPr>
        <w:pStyle w:val="FirstParagraph"/>
      </w:pPr>
      <w:r>
        <w:t xml:space="preserve">IS-API returns per-individual, per-metadata-group measurements in a structured JSON format. Most of the biological measures used in this analysis are returned directly by the API endpoints, while some require additional client-side computation from the API output.</w:t>
      </w:r>
    </w:p>
    <w:p>
      <w:pPr>
        <w:pStyle w:val="BodyText"/>
      </w:pPr>
      <w:r>
        <w:rPr>
          <w:bCs/>
          <w:b/>
        </w:rPr>
        <w:t xml:space="preserve">Measures returned directly by the API:</w:t>
      </w:r>
    </w:p>
    <w:p>
      <w:pPr>
        <w:numPr>
          <w:ilvl w:val="0"/>
          <w:numId w:val="1004"/>
        </w:numPr>
      </w:pPr>
      <w:r>
        <w:rPr>
          <w:bCs/>
          <w:b/>
        </w:rPr>
        <w:t xml:space="preserve">Clone count and expanded clone count</w:t>
      </w:r>
      <w:r>
        <w:t xml:space="preserve">: The</w:t>
      </w:r>
      <w:r>
        <w:t xml:space="preserve"> </w:t>
      </w:r>
      <w:r>
        <w:rPr>
          <w:iCs/>
          <w:i/>
        </w:rPr>
        <w:t xml:space="preserve">clone_count</w:t>
      </w:r>
      <w:r>
        <w:t xml:space="preserve"> </w:t>
      </w:r>
      <w:r>
        <w:t xml:space="preserve">endpoint returns the number of distinct clones exceeding the expansion threshold per individual. By adjusting the threshold, researchers can examine expansion at multiple levels (e.g., 20, 50, 100 unique sequences).</w:t>
      </w:r>
    </w:p>
    <w:p>
      <w:pPr>
        <w:numPr>
          <w:ilvl w:val="0"/>
          <w:numId w:val="1004"/>
        </w:numPr>
      </w:pPr>
      <w:r>
        <w:rPr>
          <w:bCs/>
          <w:b/>
        </w:rPr>
        <w:t xml:space="preserve">Clone size distribution</w:t>
      </w:r>
      <w:r>
        <w:t xml:space="preserve">: The</w:t>
      </w:r>
      <w:r>
        <w:t xml:space="preserve"> </w:t>
      </w:r>
      <w:r>
        <w:rPr>
          <w:iCs/>
          <w:i/>
        </w:rPr>
        <w:t xml:space="preserve">clone_size</w:t>
      </w:r>
      <w:r>
        <w:t xml:space="preserve"> </w:t>
      </w:r>
      <w:r>
        <w:t xml:space="preserve">endpoint returns the size of each clone per individual, providing the raw distribution from which any summary statistic can be derived.</w:t>
      </w:r>
    </w:p>
    <w:p>
      <w:pPr>
        <w:numPr>
          <w:ilvl w:val="0"/>
          <w:numId w:val="1004"/>
        </w:numPr>
      </w:pPr>
      <w:r>
        <w:rPr>
          <w:bCs/>
          <w:b/>
        </w:rPr>
        <w:t xml:space="preserve">CDR3 length</w:t>
      </w:r>
      <w:r>
        <w:t xml:space="preserve">: The</w:t>
      </w:r>
      <w:r>
        <w:t xml:space="preserve"> </w:t>
      </w:r>
      <w:r>
        <w:rPr>
          <w:iCs/>
          <w:i/>
        </w:rPr>
        <w:t xml:space="preserve">cdr3_length_distribution</w:t>
      </w:r>
      <w:r>
        <w:t xml:space="preserve"> </w:t>
      </w:r>
      <w:r>
        <w:t xml:space="preserve">endpoint returns mean and standard deviation of CDR3 length (both amino acid and nucleotide) per individual. The</w:t>
      </w:r>
      <w:r>
        <w:t xml:space="preserve"> </w:t>
      </w:r>
      <w:r>
        <w:rPr>
          <w:iCs/>
          <w:i/>
        </w:rPr>
        <w:t xml:space="preserve">topX</w:t>
      </w:r>
      <w:r>
        <w:t xml:space="preserve"> </w:t>
      </w:r>
      <w:r>
        <w:t xml:space="preserve">CDR3 endpoints return average CDR3 lengths for the top 10, 100, and 1000 clones. The</w:t>
      </w:r>
      <w:r>
        <w:t xml:space="preserve"> </w:t>
      </w:r>
      <w:r>
        <w:rPr>
          <w:iCs/>
          <w:i/>
        </w:rPr>
        <w:t xml:space="preserve">cdr3_by_clone_size</w:t>
      </w:r>
      <w:r>
        <w:t xml:space="preserve"> </w:t>
      </w:r>
      <w:r>
        <w:t xml:space="preserve">endpoint returns mean and standard deviation of CDR3 length separately for expanded and non-expanded clones.</w:t>
      </w:r>
    </w:p>
    <w:p>
      <w:pPr>
        <w:numPr>
          <w:ilvl w:val="0"/>
          <w:numId w:val="1004"/>
        </w:numPr>
      </w:pPr>
      <w:r>
        <w:rPr>
          <w:bCs/>
          <w:b/>
        </w:rPr>
        <w:t xml:space="preserve">Mutation counts and NS/S ratios</w:t>
      </w:r>
      <w:r>
        <w:t xml:space="preserve">: The mutation endpoints return per-individual averages of mutation counts split by region (CDR, FW) and type (NS, S). The</w:t>
      </w:r>
      <w:r>
        <w:t xml:space="preserve"> </w:t>
      </w:r>
      <w:r>
        <w:rPr>
          <w:iCs/>
          <w:i/>
        </w:rPr>
        <w:t xml:space="preserve">mutation_cdr_rs_ratio</w:t>
      </w:r>
      <w:r>
        <w:t xml:space="preserve"> </w:t>
      </w:r>
      <w:r>
        <w:t xml:space="preserve">endpoint provides NS and S counts in CDR and FW regions separately, from which NS/S ratios are computed. The</w:t>
      </w:r>
      <w:r>
        <w:t xml:space="preserve"> </w:t>
      </w:r>
      <w:r>
        <w:rPr>
          <w:iCs/>
          <w:i/>
        </w:rPr>
        <w:t xml:space="preserve">mutation_rs_by_clone_size</w:t>
      </w:r>
      <w:r>
        <w:t xml:space="preserve"> </w:t>
      </w:r>
      <w:r>
        <w:t xml:space="preserve">endpoint provides the same breakdown stratified by clone expansion status.</w:t>
      </w:r>
    </w:p>
    <w:p>
      <w:pPr>
        <w:numPr>
          <w:ilvl w:val="0"/>
          <w:numId w:val="1004"/>
        </w:numPr>
      </w:pPr>
      <w:r>
        <w:rPr>
          <w:bCs/>
          <w:b/>
        </w:rPr>
        <w:t xml:space="preserve">V gene usage</w:t>
      </w:r>
      <w:r>
        <w:t xml:space="preserve">: The</w:t>
      </w:r>
      <w:r>
        <w:t xml:space="preserve"> </w:t>
      </w:r>
      <w:r>
        <w:rPr>
          <w:iCs/>
          <w:i/>
        </w:rPr>
        <w:t xml:space="preserve">v_gene_usage</w:t>
      </w:r>
      <w:r>
        <w:t xml:space="preserve"> </w:t>
      </w:r>
      <w:r>
        <w:t xml:space="preserve">endpoint returns clone count and total copies per V gene segment per individual.</w:t>
      </w:r>
    </w:p>
    <w:p>
      <w:pPr>
        <w:pStyle w:val="FirstParagraph"/>
      </w:pPr>
      <w:r>
        <w:rPr>
          <w:bCs/>
          <w:b/>
        </w:rPr>
        <w:t xml:space="preserve">Measures computed client-side from API output:</w:t>
      </w:r>
    </w:p>
    <w:p>
      <w:pPr>
        <w:numPr>
          <w:ilvl w:val="0"/>
          <w:numId w:val="1005"/>
        </w:numPr>
        <w:pStyle w:val="Compact"/>
      </w:pPr>
      <w:r>
        <w:rPr>
          <w:bCs/>
          <w:b/>
        </w:rPr>
        <w:t xml:space="preserve">Clonal diversity (Hill numbers)</w:t>
      </w:r>
      <w:r>
        <w:t xml:space="preserve">: From the clone size distribution returned by the API, we computed Hill numbers of orders 0, 1, and 2 for each individual.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pStyle w:val="FirstParagraph"/>
      </w:pPr>
      <w:r>
        <w:rPr>
          <w:bCs/>
          <w:b/>
        </w:rPr>
        <w:t xml:space="preserve">Beyond this analysis.</w:t>
      </w:r>
      <w:r>
        <w:t xml:space="preserve"> </w:t>
      </w:r>
      <w:r>
        <w:t xml:space="preserve">Several endpoints already return variance measures directly — for example,</w:t>
      </w:r>
      <w:r>
        <w:t xml:space="preserve"> </w:t>
      </w:r>
      <w:r>
        <w:rPr>
          <w:rStyle w:val="VerbatimChar"/>
        </w:rPr>
        <w:t xml:space="preserve">cdr3_length_distribution</w:t>
      </w:r>
      <w:r>
        <w:t xml:space="preserve"> </w:t>
      </w:r>
      <w:r>
        <w:t xml:space="preserve">and</w:t>
      </w:r>
      <w:r>
        <w:t xml:space="preserve"> </w:t>
      </w:r>
      <w:r>
        <w:rPr>
          <w:rStyle w:val="VerbatimChar"/>
        </w:rPr>
        <w:t xml:space="preserve">cdr3_by_clone_size</w:t>
      </w:r>
      <w:r>
        <w:t xml:space="preserve"> </w:t>
      </w:r>
      <w:r>
        <w:t xml:space="preserve">return the standard deviation of CDR3 length per individual, enabling immediate comparison of within-individual variability across groups. Because IS-API returns per-individual measurements across arbitrary metadata groupings, researchers can use the output as the starting point for a wide range of additional downstream analyses beyond those presented here. The clone size distributions can be used to compute coefficient of variation across individuals within a group, test for differences in distributional shape (not just central tendency), or fit parametric models of clonal expansion. The per-individual mutation and CDR3 data enable correlation analyses between measures (e.g., whether individuals with higher mutation loads also have shorter CDR3 lengths), regression models incorporating multiple covariates (age, sex, disease stage), and longitudinal tracking when time-series metadata is available. Cross-stratified queries (e.g., tissue × disease stage × sex) enable factorial designs that test for interaction effects. In general, any statistical question that can be framed in terms of per-individual repertoire measurements across metadata-defined groups can be addressed using the IS-API output.</w:t>
      </w:r>
    </w:p>
    <w:bookmarkEnd w:id="46"/>
    <w:bookmarkStart w:id="47" w:name="statistical-analysis"/>
    <w:p>
      <w:pPr>
        <w:pStyle w:val="Heading2"/>
      </w:pPr>
      <w:r>
        <w:rPr>
          <w:rStyle w:val="SectionNumber"/>
        </w:rPr>
        <w:t xml:space="preserve">6.7</w:t>
      </w:r>
      <w:r>
        <w:tab/>
      </w: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7"/>
    <w:bookmarkStart w:id="48" w:name="visualization"/>
    <w:p>
      <w:pPr>
        <w:pStyle w:val="Heading2"/>
      </w:pPr>
      <w:r>
        <w:rPr>
          <w:rStyle w:val="SectionNumber"/>
        </w:rPr>
        <w:t xml:space="preserve">6.8</w:t>
      </w:r>
      <w:r>
        <w:tab/>
      </w: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8"/>
    <w:bookmarkEnd w:id="49"/>
    <w:bookmarkStart w:id="130" w:name="results"/>
    <w:p>
      <w:pPr>
        <w:pStyle w:val="Heading1"/>
      </w:pPr>
      <w:r>
        <w:rPr>
          <w:rStyle w:val="SectionNumber"/>
        </w:rPr>
        <w:t xml:space="preserve">7</w:t>
      </w:r>
      <w:r>
        <w:tab/>
      </w:r>
      <w:r>
        <w:t xml:space="preserve">Results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 In this section, we first present the metadata exploration that shaped our cohort, then report the cross-study clonal analysis of BCR repertoires across COVID-19 disease severities. All clonal analyses use blood-derived samples only, with individuals grouped into six harmonized disease categories: Severe (n=26), Moderate (n=9), Mild (n=30), Recovered (n=12), COVID Naive (n=8), and Healthy (n=9).</w:t>
      </w:r>
    </w:p>
    <w:bookmarkStart w:id="68" w:name="metadata-overview"/>
    <w:p>
      <w:pPr>
        <w:pStyle w:val="Heading2"/>
      </w:pPr>
      <w:r>
        <w:rPr>
          <w:rStyle w:val="SectionNumber"/>
        </w:rPr>
        <w:t xml:space="preserve">7.1</w:t>
      </w:r>
      <w:r>
        <w:tab/>
      </w: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Left panel: number of subjects per dataset (bars). Right panel: sequencing depth (number of sequences) per subject within each dataset (dots). Study IDs: CD1–CD3 (COVID-19 cohorts), CVX1–CVX2 (vaccine cohorts), HC1 (healthy controls), GT1 (gut transplant)." title="" id="51" name="Picture"/>
            <a:graphic>
              <a:graphicData uri="http://schemas.openxmlformats.org/drawingml/2006/picture">
                <pic:pic>
                  <pic:nvPicPr>
                    <pic:cNvPr descr="../immunedb_STATS_API/metadata/plots/06_sampling_depth.png" id="52" name="Picture"/>
                    <pic:cNvPicPr>
                      <a:picLocks noChangeArrowheads="1" noChangeAspect="1"/>
                    </pic:cNvPicPr>
                  </pic:nvPicPr>
                  <pic:blipFill>
                    <a:blip r:embed="rId50"/>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Left panel: number of subjects per dataset (bars). Right panel: sequencing depth (number of sequences) per subject within each dataset (dots). Study IDs: CD1–CD3 (COVID-19 cohorts), CVX1–CVX2 (vaccine cohorts), HC1 (healthy controls), GT1 (gut transplant).</w:t>
      </w:r>
    </w:p>
    <w:p>
      <w:pPr>
        <w:pStyle w:val="BodyText"/>
      </w:pPr>
      <w:r>
        <w:t xml:space="preserve">Examining the metadata completeness across datasets (</w:t>
      </w:r>
      <w:r>
        <w:rPr>
          <w:bCs/>
          <w:b/>
        </w:rPr>
        <w:t xml:space="preserve">Metadata Figure 3</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Heatmap showing which metadata fields (tissue, disease stage, age, sex) are available for each individual across the seven datasets. Filled cells indicate data present; empty cells indicate missing data." title="" id="54" name="Picture"/>
            <a:graphic>
              <a:graphicData uri="http://schemas.openxmlformats.org/drawingml/2006/picture">
                <pic:pic>
                  <pic:nvPicPr>
                    <pic:cNvPr descr="../immunedb_STATS_API/metadata/plots/00_metadata_per_dataset.png" id="55" name="Picture"/>
                    <pic:cNvPicPr>
                      <a:picLocks noChangeArrowheads="1" noChangeAspect="1"/>
                    </pic:cNvPicPr>
                  </pic:nvPicPr>
                  <pic:blipFill>
                    <a:blip r:embed="rId53"/>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 Heatmap showing which metadata fields (tissue, disease stage, age, sex) are available for each individual across the seven datasets. Filled cells indicate data present; empty cells indicate missing data.</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w:t>
      </w:r>
    </w:p>
    <w:p>
      <w:pPr>
        <w:pStyle w:val="CaptionedFigure"/>
      </w:pPr>
      <w:r>
        <w:drawing>
          <wp:inline>
            <wp:extent cx="5334000" cy="3000375"/>
            <wp:effectExtent b="0" l="0" r="0" t="0"/>
            <wp:docPr descr="Metadata Figure 3. Raw disease stage labels across studies. Bar chart showing the 13 original disease stage annotations as recorded in the source databases before harmonization. Each bar represents one label; colors indicate the contributing study. The Healthy group appears last." title="" id="57" name="Picture"/>
            <a:graphic>
              <a:graphicData uri="http://schemas.openxmlformats.org/drawingml/2006/picture">
                <pic:pic>
                  <pic:nvPicPr>
                    <pic:cNvPr descr="../immunedb_STATS_API/metadata/plots/02_disease_stage_raw.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3. Raw disease stage labels across studies. Bar chart showing the 13 original disease stage annotations as recorded in the source databases before harmonization. Each bar represents one label; colors indicate the contributing study. The Healthy group appears last.</w:t>
      </w:r>
    </w:p>
    <w:p>
      <w:pPr>
        <w:pStyle w:val="BodyText"/>
      </w:pPr>
      <w:r>
        <w:t xml:space="preserve">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 title="" id="60" name="Picture"/>
            <a:graphic>
              <a:graphicData uri="http://schemas.openxmlformats.org/drawingml/2006/picture">
                <pic:pic>
                  <pic:nvPicPr>
                    <pic:cNvPr descr="../immunedb_STATS_API/metadata/plots/04_disease_harmonized_with_labels.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06"/>
        </w:numPr>
        <w:pStyle w:val="Compact"/>
      </w:pPr>
      <w:r>
        <w:t xml:space="preserve">Severe and Mild individuals span a wide age range (20-88 years), while Recovered and COVID Naive individuals tend to be younger (20-50 years).</w:t>
      </w:r>
    </w:p>
    <w:p>
      <w:pPr>
        <w:numPr>
          <w:ilvl w:val="0"/>
          <w:numId w:val="1006"/>
        </w:numPr>
        <w:pStyle w:val="Compact"/>
      </w:pPr>
      <w:r>
        <w:t xml:space="preserve">The Healthy group has a moderate age range (23-58 years).</w:t>
      </w:r>
    </w:p>
    <w:p>
      <w:pPr>
        <w:numPr>
          <w:ilvl w:val="0"/>
          <w:numId w:val="1006"/>
        </w:numPr>
        <w:pStyle w:val="Compact"/>
      </w:pPr>
      <w:r>
        <w:t xml:space="preserve">Sex data is missing for several individuals in CD3 (shown as X markers), limiting sex-stratified analyses in those disease categories.</w:t>
      </w:r>
    </w:p>
    <w:p>
      <w:pPr>
        <w:numPr>
          <w:ilvl w:val="0"/>
          <w:numId w:val="1006"/>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Each dot represents one individual, positioned by disease category (x-axis) and age (y-axis). Colors indicate the source dataset; shapes indicate sex (circle = male, triangle = female, X = missing). Jitter applied to avoid overlap." title="" id="63" name="Picture"/>
            <a:graphic>
              <a:graphicData uri="http://schemas.openxmlformats.org/drawingml/2006/picture">
                <pic:pic>
                  <pic:nvPicPr>
                    <pic:cNvPr descr="../immunedb_STATS_API/metadata/plots/05_demographics_scatter.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 Each dot represents one individual, positioned by disease category (x-axis) and age (y-axis). Colors indicate the source dataset; shapes indicate sex (circle = male, triangle = female, X = missing). Jitter applied to avoid overlap.</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section (see Age and Gender Analysis in Results).</w:t>
      </w:r>
    </w:p>
    <w:p>
      <w:pPr>
        <w:pStyle w:val="CaptionedFigure"/>
      </w:pPr>
      <w:r>
        <w:drawing>
          <wp:inline>
            <wp:extent cx="5334000" cy="3282461"/>
            <wp:effectExtent b="0" l="0" r="0" t="0"/>
            <wp:docPr descr="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 title="" id="66" name="Picture"/>
            <a:graphic>
              <a:graphicData uri="http://schemas.openxmlformats.org/drawingml/2006/picture">
                <pic:pic>
                  <pic:nvPicPr>
                    <pic:cNvPr descr="../immunedb_STATS_API/metadata/plots/03e_heatmap_disease_age_sex.png" id="67" name="Picture"/>
                    <pic:cNvPicPr>
                      <a:picLocks noChangeArrowheads="1" noChangeAspect="1"/>
                    </pic:cNvPicPr>
                  </pic:nvPicPr>
                  <pic:blipFill>
                    <a:blip r:embed="rId6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w:t>
      </w:r>
    </w:p>
    <w:bookmarkEnd w:id="68"/>
    <w:bookmarkStart w:id="75" w:name="clonal-diversity-and-clone-count"/>
    <w:p>
      <w:pPr>
        <w:pStyle w:val="Heading2"/>
      </w:pPr>
      <w:r>
        <w:rPr>
          <w:rStyle w:val="SectionNumber"/>
        </w:rPr>
        <w:t xml:space="preserve">7.2</w:t>
      </w:r>
      <w:r>
        <w:tab/>
      </w:r>
      <w:r>
        <w:t xml:space="preserve">Clonal Diversity and Clone Count</w:t>
      </w:r>
    </w:p>
    <w:p>
      <w:pPr>
        <w:pStyle w:val="FirstParagraph"/>
      </w:pPr>
      <w:r>
        <w:rPr>
          <w:bCs/>
          <w:b/>
        </w:rPr>
        <w:t xml:space="preserve">Clone count by disease stage.</w:t>
      </w:r>
      <w:r>
        <w:t xml:space="preserve"> </w:t>
      </w:r>
      <w:r>
        <w:t xml:space="preserve">IS-API’s clone_count endpoint returns the total number of unique clones per individual. The clone count distribution (</w:t>
      </w:r>
      <w:r>
        <w:rPr>
          <w:bCs/>
          <w:b/>
        </w:rPr>
        <w:t xml:space="preserve">Figure 2</w:t>
      </w:r>
      <w:r>
        <w:t xml:space="preserve">) revealed highly significant differences across disease categories (Kruskal-Wallis p &lt; 0.0001). Mild individuals had the fewest clones (median 2,228), while Recovered (median 22,177), Healthy (median 20,735), and COVID Naive (median 16,682) individuals had substantially higher clone counts. Severe (median 5,089) and Moderate (median 6,184) individuals fell between these extremes. The low clone counts in the Mild group, combined with the high variability spanning two orders of magnitude (from ~100 to ~6,000), suggest that Mild COVID-19 may be associated with more restricted repertoire sampling or reduced clonal diversity. The consistently high clone counts in Recovered, Healthy, and COVID Naive individuals indicate that these groups maintain broader repertoire diversity.</w:t>
      </w:r>
    </w:p>
    <w:p>
      <w:pPr>
        <w:pStyle w:val="CaptionedFigure"/>
      </w:pPr>
      <w:r>
        <w:drawing>
          <wp:inline>
            <wp:extent cx="5334000" cy="3371031"/>
            <wp:effectExtent b="0" l="0" r="0" t="0"/>
            <wp:docPr descr="Figure 1. Clone count distribution by disease stage. Total number of unique clones per individual (log scale) across six disease categories. Each dot represents one individual; boxplots show median and IQR. Kruskal-Wallis p-value annotated. Blood samples only." title="" id="70" name="Picture"/>
            <a:graphic>
              <a:graphicData uri="http://schemas.openxmlformats.org/drawingml/2006/picture">
                <pic:pic>
                  <pic:nvPicPr>
                    <pic:cNvPr descr="../immunedb_STATS_API/clonal_analysis/plots/27_clone_count_by_disease.png" id="71" name="Picture"/>
                    <pic:cNvPicPr>
                      <a:picLocks noChangeArrowheads="1" noChangeAspect="1"/>
                    </pic:cNvPicPr>
                  </pic:nvPicPr>
                  <pic:blipFill>
                    <a:blip r:embed="rId69"/>
                    <a:stretch>
                      <a:fillRect/>
                    </a:stretch>
                  </pic:blipFill>
                  <pic:spPr bwMode="auto">
                    <a:xfrm>
                      <a:off x="0" y="0"/>
                      <a:ext cx="5334000" cy="3371031"/>
                    </a:xfrm>
                    <a:prstGeom prst="rect">
                      <a:avLst/>
                    </a:prstGeom>
                    <a:noFill/>
                    <a:ln w="9525">
                      <a:noFill/>
                      <a:headEnd/>
                      <a:tailEnd/>
                    </a:ln>
                  </pic:spPr>
                </pic:pic>
              </a:graphicData>
            </a:graphic>
          </wp:inline>
        </w:drawing>
      </w:r>
    </w:p>
    <w:p>
      <w:pPr>
        <w:pStyle w:val="ImageCaption"/>
      </w:pPr>
      <w:r>
        <w:t xml:space="preserve">Figure 1. Clone count distribution by disease stage. Total number of unique clones per individual (log scale) across six disease categories. Each dot represents one individual; boxplots show median and IQR. Kruskal-Wallis p-value annotated. Blood samples only.</w:t>
      </w:r>
    </w:p>
    <w:p>
      <w:pPr>
        <w:pStyle w:val="BodyText"/>
      </w:pPr>
      <w:r>
        <w:rPr>
          <w:bCs/>
          <w:b/>
        </w:rPr>
        <w:t xml:space="preserve">Clonal diversity profiles.</w:t>
      </w:r>
      <w:r>
        <w:t xml:space="preserve"> </w:t>
      </w:r>
      <w:r>
        <w:t xml:space="preserve">To assess clonal diversity, we computed Hill numbers of orders 0 (richness), 1 (Shannon), and 2 (Simpson) from the clone size distribution of each individual. The diversity profiles (</w:t>
      </w:r>
      <w:r>
        <w:rPr>
          <w:bCs/>
          <w:b/>
        </w:rPr>
        <w:t xml:space="preserve">Figure 2</w:t>
      </w:r>
      <w:r>
        <w:t xml:space="preserve">) plot all three Hill numbers for each individual with group medians highlighted. 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742468"/>
            <wp:effectExtent b="0" l="0" r="0" t="0"/>
            <wp:docPr descr="Figure 2. Diversity profiles by disease stage. Each thin line represents one individual’s Hill number profile from Order 0 to Order 2; thick lines show group medians. A steep drop indicates dominance by a few large clones; a gradual decline indicates a more even clone size distribution." title="" id="73" name="Picture"/>
            <a:graphic>
              <a:graphicData uri="http://schemas.openxmlformats.org/drawingml/2006/picture">
                <pic:pic>
                  <pic:nvPicPr>
                    <pic:cNvPr descr="../immunedb_STATS_API/clonal_analysis/plots/18_diversity_profiles.png" id="74" name="Picture"/>
                    <pic:cNvPicPr>
                      <a:picLocks noChangeArrowheads="1" noChangeAspect="1"/>
                    </pic:cNvPicPr>
                  </pic:nvPicPr>
                  <pic:blipFill>
                    <a:blip r:embed="rId72"/>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2. Diversity profiles by disease stage. Each thin line represents one individual’s Hill number profile from Order 0 to Order 2; thick lines show group medians. A steep drop indicates dominance by a few large clones; a gradual decline indicates a more even clone size distribution.</w:t>
      </w:r>
    </w:p>
    <w:bookmarkEnd w:id="75"/>
    <w:bookmarkStart w:id="85" w:name="X3f5b631ded05b3dcd12510f37cac77f411a6406"/>
    <w:p>
      <w:pPr>
        <w:pStyle w:val="Heading2"/>
      </w:pPr>
      <w:r>
        <w:rPr>
          <w:rStyle w:val="SectionNumber"/>
        </w:rPr>
        <w:t xml:space="preserve">7.3</w:t>
      </w:r>
      <w:r>
        <w:tab/>
      </w:r>
      <w:r>
        <w:t xml:space="preserve">Expanded Clones and Clone Size Distribution</w:t>
      </w:r>
    </w:p>
    <w:p>
      <w:pPr>
        <w:pStyle w:val="FirstParagraph"/>
      </w:pPr>
      <w:r>
        <w:rPr>
          <w:bCs/>
          <w:b/>
        </w:rPr>
        <w:t xml:space="preserve">Expanded clone count.</w:t>
      </w:r>
      <w:r>
        <w:t xml:space="preserve"> </w:t>
      </w:r>
      <w:r>
        <w:t xml:space="preserve">We examined the number of expanded clones at three expansion thresholds: 20, 50, and 100 unique sequences per clone. At the lowest threshold (&gt;20 unique sequences), 100% of individuals across all disease categories had at least one expanded clone, confirming that clonal expansion is a universal feature of BCR repertoires regardless of disease status. Raising the threshold to &gt;50 unique sequences began to separate the groups: some individuals in the Mild and Recovered categories lost all expanded clones, while COVID Naive and Healthy individuals retained multiple expanded clones at this stricter cutoff. At the most stringent threshold (&gt;100 unique sequences), the separation became more pronounced — COVID Naive individuals consistently maintained more highly expanded clones than all disease groups, and several Mild and Recovered individuals had none. This threshold-dependent pattern suggests that while low-level expansion is ubiquitous, sustained large-scale clonal expansion is more characteristic of non-disease repertoires.</w:t>
      </w:r>
    </w:p>
    <w:p>
      <w:pPr>
        <w:pStyle w:val="BodyText"/>
      </w:pPr>
      <w:r>
        <w:rPr>
          <w:bCs/>
          <w:b/>
        </w:rPr>
        <w:t xml:space="preserve">Clone size distribution.</w:t>
      </w:r>
      <w:r>
        <w:t xml:space="preserve"> </w:t>
      </w:r>
      <w:r>
        <w:t xml:space="preserve">The clone size distribution analysis (</w:t>
      </w:r>
      <w:r>
        <w:rPr>
          <w:bCs/>
          <w:b/>
        </w:rPr>
        <w:t xml:space="preserve">Figure 3</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p>
      <w:pPr>
        <w:pStyle w:val="CaptionedFigure"/>
      </w:pPr>
      <w:r>
        <w:drawing>
          <wp:inline>
            <wp:extent cx="5334000" cy="2379599"/>
            <wp:effectExtent b="0" l="0" r="0" t="0"/>
            <wp:docPr descr="Figure 3.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 title="" id="77" name="Picture"/>
            <a:graphic>
              <a:graphicData uri="http://schemas.openxmlformats.org/drawingml/2006/picture">
                <pic:pic>
                  <pic:nvPicPr>
                    <pic:cNvPr descr="../immunedb_STATS_API/clonal_analysis/plots/20_clone_size_distribution.png" id="78" name="Picture"/>
                    <pic:cNvPicPr>
                      <a:picLocks noChangeArrowheads="1" noChangeAspect="1"/>
                    </pic:cNvPicPr>
                  </pic:nvPicPr>
                  <pic:blipFill>
                    <a:blip r:embed="rId76"/>
                    <a:stretch>
                      <a:fillRect/>
                    </a:stretch>
                  </pic:blipFill>
                  <pic:spPr bwMode="auto">
                    <a:xfrm>
                      <a:off x="0" y="0"/>
                      <a:ext cx="5334000" cy="2379599"/>
                    </a:xfrm>
                    <a:prstGeom prst="rect">
                      <a:avLst/>
                    </a:prstGeom>
                    <a:noFill/>
                    <a:ln w="9525">
                      <a:noFill/>
                      <a:headEnd/>
                      <a:tailEnd/>
                    </a:ln>
                  </pic:spPr>
                </pic:pic>
              </a:graphicData>
            </a:graphic>
          </wp:inline>
        </w:drawing>
      </w:r>
    </w:p>
    <w:p>
      <w:pPr>
        <w:pStyle w:val="ImageCaption"/>
      </w:pPr>
      <w:r>
        <w:t xml:space="preserve">Figure 3.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w:t>
      </w:r>
    </w:p>
    <w:p>
      <w:pPr>
        <w:pStyle w:val="BodyText"/>
      </w:pPr>
      <w:r>
        <w:rPr>
          <w:bCs/>
          <w:b/>
        </w:rPr>
        <w:t xml:space="preserve">Clone size: unique sequences versus copies.</w:t>
      </w:r>
      <w:r>
        <w:t xml:space="preserve"> </w:t>
      </w:r>
      <w:r>
        <w:t xml:space="preserve">To understand the relationship between the two measures of clone size, we compared the number of unique sequences per clone with the total number of copies (raw reads) per clone (</w:t>
      </w:r>
      <w:r>
        <w:rPr>
          <w:bCs/>
          <w:b/>
        </w:rPr>
        <w:t xml:space="preserve">Figure 4</w:t>
      </w:r>
      <w:r>
        <w:t xml:space="preserve">). Panel A shows a strong positive correlation between unique sequences and copies across all disease categories, confirming that both measures capture the same underlying biological signal. Panel B shows the copy-to-unique ratio by disease stage — Mild individuals exhibited the highest and most variable ratios, while Recovered and COVID Naive individuals showed consistently low ratios. Panel C displays per-subject median values, revealing that disease groups (Severe, Moderate, Mild) tend to cluster with higher copy counts relative to unique sequences compared to non-disease groups.</w:t>
      </w:r>
    </w:p>
    <w:p>
      <w:pPr>
        <w:pStyle w:val="CaptionedFigure"/>
      </w:pPr>
      <w:r>
        <w:drawing>
          <wp:inline>
            <wp:extent cx="5334000" cy="1652883"/>
            <wp:effectExtent b="0" l="0" r="0" t="0"/>
            <wp:docPr descr="Figure 4.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 title="" id="80" name="Picture"/>
            <a:graphic>
              <a:graphicData uri="http://schemas.openxmlformats.org/drawingml/2006/picture">
                <pic:pic>
                  <pic:nvPicPr>
                    <pic:cNvPr descr="../immunedb_STATS_API/clonal_analysis/plots/26_copies_vs_unique.png" id="81" name="Picture"/>
                    <pic:cNvPicPr>
                      <a:picLocks noChangeArrowheads="1" noChangeAspect="1"/>
                    </pic:cNvPicPr>
                  </pic:nvPicPr>
                  <pic:blipFill>
                    <a:blip r:embed="rId79"/>
                    <a:stretch>
                      <a:fillRect/>
                    </a:stretch>
                  </pic:blipFill>
                  <pic:spPr bwMode="auto">
                    <a:xfrm>
                      <a:off x="0" y="0"/>
                      <a:ext cx="5334000" cy="1652883"/>
                    </a:xfrm>
                    <a:prstGeom prst="rect">
                      <a:avLst/>
                    </a:prstGeom>
                    <a:noFill/>
                    <a:ln w="9525">
                      <a:noFill/>
                      <a:headEnd/>
                      <a:tailEnd/>
                    </a:ln>
                  </pic:spPr>
                </pic:pic>
              </a:graphicData>
            </a:graphic>
          </wp:inline>
        </w:drawing>
      </w:r>
    </w:p>
    <w:p>
      <w:pPr>
        <w:pStyle w:val="ImageCaption"/>
      </w:pPr>
      <w:r>
        <w:t xml:space="preserve">Figure 4.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5</w:t>
      </w:r>
      <w:r>
        <w:t xml:space="preserve">), revealing the degree of oligoclonal dominance in each disease category.</w:t>
      </w:r>
    </w:p>
    <w:p>
      <w:pPr>
        <w:pStyle w:val="CaptionedFigure"/>
      </w:pPr>
      <w:r>
        <w:drawing>
          <wp:inline>
            <wp:extent cx="5334000" cy="1641230"/>
            <wp:effectExtent b="0" l="0" r="0" t="0"/>
            <wp:docPr descr="Figure 5. Clonal concentration: fraction of total sequence copies accounted for by the top 10, top 100, and top 1000 clones per individual, shown as stacked bars by disease stage. Higher values indicate greater oligoclonal dominance. Each bar represents one individual." title="" id="83" name="Picture"/>
            <a:graphic>
              <a:graphicData uri="http://schemas.openxmlformats.org/drawingml/2006/picture">
                <pic:pic>
                  <pic:nvPicPr>
                    <pic:cNvPr descr="../immunedb_STATS_API/clonal_analysis/plots/02_topX_stacked_by_disease.png" id="84" name="Picture"/>
                    <pic:cNvPicPr>
                      <a:picLocks noChangeArrowheads="1" noChangeAspect="1"/>
                    </pic:cNvPicPr>
                  </pic:nvPicPr>
                  <pic:blipFill>
                    <a:blip r:embed="rId82"/>
                    <a:stretch>
                      <a:fillRect/>
                    </a:stretch>
                  </pic:blipFill>
                  <pic:spPr bwMode="auto">
                    <a:xfrm>
                      <a:off x="0" y="0"/>
                      <a:ext cx="5334000" cy="1641230"/>
                    </a:xfrm>
                    <a:prstGeom prst="rect">
                      <a:avLst/>
                    </a:prstGeom>
                    <a:noFill/>
                    <a:ln w="9525">
                      <a:noFill/>
                      <a:headEnd/>
                      <a:tailEnd/>
                    </a:ln>
                  </pic:spPr>
                </pic:pic>
              </a:graphicData>
            </a:graphic>
          </wp:inline>
        </w:drawing>
      </w:r>
    </w:p>
    <w:p>
      <w:pPr>
        <w:pStyle w:val="ImageCaption"/>
      </w:pPr>
      <w:r>
        <w:t xml:space="preserve">Figure 5. Clonal concentration: fraction of total sequence copies accounted for by the top 10, top 100, and top 1000 clones per individual, shown as stacked bars by disease stage. Higher values indicate greater oligoclonal dominance. Each bar represents one individual.</w:t>
      </w:r>
    </w:p>
    <w:bookmarkEnd w:id="85"/>
    <w:bookmarkStart w:id="101" w:name="cdr3-length-and-mutation-analysis"/>
    <w:p>
      <w:pPr>
        <w:pStyle w:val="Heading2"/>
      </w:pPr>
      <w:r>
        <w:rPr>
          <w:rStyle w:val="SectionNumber"/>
        </w:rPr>
        <w:t xml:space="preserve">7.4</w:t>
      </w:r>
      <w:r>
        <w:tab/>
      </w:r>
      <w:r>
        <w:t xml:space="preserve">CDR3 Length and Mutation Analysis</w:t>
      </w:r>
    </w:p>
    <w:p>
      <w:pPr>
        <w:pStyle w:val="FirstParagraph"/>
      </w:pPr>
      <w:r>
        <w:t xml:space="preserve">Having established the clone size distribution and the expansion threshold of ≥20 unique sequences — chosen because at this threshold 100% of individuals across all disease categories retain at least one expanded clone, making it suitable for cross-group comparison — we next examined CDR3 length and somatic hypermutation patterns across disease categories. IS-API’s CDR3 and mutation endpoints enable analysis at multiple levels: all clones per individual, expanded versus non-expanded clones, and the top 10 most expanded clones.</w:t>
      </w:r>
    </w:p>
    <w:p>
      <w:pPr>
        <w:pStyle w:val="BodyText"/>
      </w:pPr>
      <w:r>
        <w:rPr>
          <w:bCs/>
          <w:b/>
        </w:rPr>
        <w:t xml:space="preserve">CDR3 length: expanded versus non-expanded clones.</w:t>
      </w:r>
      <w:r>
        <w:t xml:space="preserve"> </w:t>
      </w:r>
      <w:r>
        <w:t xml:space="preserve">Comparing CDR3 amino acid lengths between expanded clones (≥20 unique sequences) and non-expanded clones (&lt;20 unique sequences) revealed that expanded clones tend to have shorter CDR3 regions (</w:t>
      </w:r>
      <w:r>
        <w:rPr>
          <w:bCs/>
          <w:b/>
        </w:rPr>
        <w:t xml:space="preserve">Figure 6</w:t>
      </w:r>
      <w:r>
        <w:t xml:space="preserve">). The difference was most pronounced in the Healthy group (expanded: 14.69 ± 1.49 AA vs. rest: 16.82 ± 1.14 AA). Among infected individuals, Severe cases exhibited the highest expanded-clone CDR3 lengths (17.99 ± 1.60 AA), closer to the non-expanded background, possibly reflecting recruitment of clones with diverse CDR3 structures during acute infection. Mild and Recovered individuals showed intermediate values, while COVID Naive individuals had expanded clones with CDR3 lengths similar to those observed in disease groups, consistent with vaccine-driven expansion of antigen-specific clones.</w:t>
      </w:r>
    </w:p>
    <w:p>
      <w:pPr>
        <w:pStyle w:val="CaptionedFigure"/>
      </w:pPr>
      <w:r>
        <w:drawing>
          <wp:inline>
            <wp:extent cx="5334000" cy="3172732"/>
            <wp:effectExtent b="0" l="0" r="0" t="0"/>
            <wp:docPr descr="Figure 6.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 title="" id="87" name="Picture"/>
            <a:graphic>
              <a:graphicData uri="http://schemas.openxmlformats.org/drawingml/2006/picture">
                <pic:pic>
                  <pic:nvPicPr>
                    <pic:cNvPr descr="../immunedb_STATS_API/clonal_analysis/plots/09_cdr3_expanded_vs_rest.png" id="88" name="Picture"/>
                    <pic:cNvPicPr>
                      <a:picLocks noChangeArrowheads="1" noChangeAspect="1"/>
                    </pic:cNvPicPr>
                  </pic:nvPicPr>
                  <pic:blipFill>
                    <a:blip r:embed="rId86"/>
                    <a:stretch>
                      <a:fillRect/>
                    </a:stretch>
                  </pic:blipFill>
                  <pic:spPr bwMode="auto">
                    <a:xfrm>
                      <a:off x="0" y="0"/>
                      <a:ext cx="5334000" cy="3172732"/>
                    </a:xfrm>
                    <a:prstGeom prst="rect">
                      <a:avLst/>
                    </a:prstGeom>
                    <a:noFill/>
                    <a:ln w="9525">
                      <a:noFill/>
                      <a:headEnd/>
                      <a:tailEnd/>
                    </a:ln>
                  </pic:spPr>
                </pic:pic>
              </a:graphicData>
            </a:graphic>
          </wp:inline>
        </w:drawing>
      </w:r>
    </w:p>
    <w:p>
      <w:pPr>
        <w:pStyle w:val="ImageCaption"/>
      </w:pPr>
      <w:r>
        <w:t xml:space="preserve">Figure 6.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w:t>
      </w:r>
    </w:p>
    <w:p>
      <w:pPr>
        <w:pStyle w:val="BodyText"/>
      </w:pPr>
      <w:r>
        <w:rPr>
          <w:bCs/>
          <w:b/>
        </w:rPr>
        <w:t xml:space="preserve">CDR3 length distribution: all clones versus expanded clones.</w:t>
      </w:r>
      <w:r>
        <w:t xml:space="preserve"> </w:t>
      </w:r>
      <w:r>
        <w:t xml:space="preserve">To place the expanded-clone CDR3 differences in context, we examined the full CDR3 length distribution per individual (</w:t>
      </w:r>
      <w:r>
        <w:rPr>
          <w:bCs/>
          <w:b/>
        </w:rPr>
        <w:t xml:space="preserve">Figure 7</w:t>
      </w:r>
      <w:r>
        <w:t xml:space="preserve">). Panels A and B show that across all clones, mean CDR3 length differed significantly across disease categories (Kruskal-Wallis p &lt; 0.0001): Moderate individuals had the longest mean CDR3 lengths (median 17.8 AA), while Mild and Healthy individuals had shorter CDR3 (median ~17.0 AA). The standard deviation of CDR3 length also varied (p = 0.0009), with Severe individuals showing the highest within-individual variability. Panels C and D restrict the analysis to expanded clones (≥20 unique sequences). The disease-stage differences became more pronounced (Kruskal-Wallis p = 0.0008 for both mean and SD): Healthy individuals showed dramatically shorter expanded-clone CDR3 lengths (median 14.4 AA) compared to disease groups (16–18 AA), and Severe individuals had the highest expanded-clone CDR3 variability (median SD ~4.5 AA), suggesting a more structurally diverse set of expanded clones during acute infection.</w:t>
      </w:r>
    </w:p>
    <w:p>
      <w:pPr>
        <w:pStyle w:val="CaptionedFigure"/>
      </w:pPr>
      <w:r>
        <w:drawing>
          <wp:inline>
            <wp:extent cx="5334000" cy="2379200"/>
            <wp:effectExtent b="0" l="0" r="0" t="0"/>
            <wp:docPr descr="Figure 7. CDR3 amino acid length distribution by disease stage. Panels A–B: all clones — mean CDR3 length (A) and standard deviation (B) per individual. Panels C–D: expanded clones only (≥20 unique sequences) — mean CDR3 length (C) and standard deviation (D). Each dot represents one individual; boxplots show median and IQR. Kruskal-Wallis p-values annotated. Blood samples only." title="" id="90" name="Picture"/>
            <a:graphic>
              <a:graphicData uri="http://schemas.openxmlformats.org/drawingml/2006/picture">
                <pic:pic>
                  <pic:nvPicPr>
                    <pic:cNvPr descr="../immunedb_STATS_API/clonal_analysis/plots/22_cdr3_length_distribution.png" id="91" name="Picture"/>
                    <pic:cNvPicPr>
                      <a:picLocks noChangeArrowheads="1" noChangeAspect="1"/>
                    </pic:cNvPicPr>
                  </pic:nvPicPr>
                  <pic:blipFill>
                    <a:blip r:embed="rId89"/>
                    <a:stretch>
                      <a:fillRect/>
                    </a:stretch>
                  </pic:blipFill>
                  <pic:spPr bwMode="auto">
                    <a:xfrm>
                      <a:off x="0" y="0"/>
                      <a:ext cx="5334000" cy="2379200"/>
                    </a:xfrm>
                    <a:prstGeom prst="rect">
                      <a:avLst/>
                    </a:prstGeom>
                    <a:noFill/>
                    <a:ln w="9525">
                      <a:noFill/>
                      <a:headEnd/>
                      <a:tailEnd/>
                    </a:ln>
                  </pic:spPr>
                </pic:pic>
              </a:graphicData>
            </a:graphic>
          </wp:inline>
        </w:drawing>
      </w:r>
    </w:p>
    <w:p>
      <w:pPr>
        <w:pStyle w:val="ImageCaption"/>
      </w:pPr>
      <w:r>
        <w:t xml:space="preserve">Figure 7. CDR3 amino acid length distribution by disease stage. Panels A–B: all clones — mean CDR3 length (A) and standard deviation (B) per individual. Panels C–D: expanded clones only (≥20 unique sequences) — mean CDR3 length (C) and standard deviation (D). Each dot represents one individual; boxplots show median and IQR. Kruskal-Wallis p-values annotated. Blood samples only.</w:t>
      </w:r>
    </w:p>
    <w:p>
      <w:pPr>
        <w:pStyle w:val="BodyText"/>
      </w:pPr>
      <w:r>
        <w:rPr>
          <w:bCs/>
          <w:b/>
        </w:rPr>
        <w:t xml:space="preserve">CDR3 length in the top 10 clones.</w:t>
      </w:r>
      <w:r>
        <w:t xml:space="preserve"> </w:t>
      </w:r>
      <w:r>
        <w:t xml:space="preserve">Focusing on the most expanded clones per individual, the CDR3 endpoint returned the average CDR3 length (in amino acids) of the top 10 clones (</w:t>
      </w:r>
      <w:r>
        <w:rPr>
          <w:bCs/>
          <w:b/>
        </w:rPr>
        <w:t xml:space="preserve">Figure 8</w:t>
      </w:r>
      <w:r>
        <w:t xml:space="preserve">), along with the range of CDR3 lengths (</w:t>
      </w:r>
      <w:r>
        <w:rPr>
          <w:bCs/>
          <w:b/>
        </w:rPr>
        <w:t xml:space="preserve">Figure 9</w:t>
      </w:r>
      <w:r>
        <w:t xml:space="preserve">). These figures characterize the antigen-binding loop properties of the most dominant clones across disease categories.</w:t>
      </w:r>
    </w:p>
    <w:p>
      <w:pPr>
        <w:pStyle w:val="CaptionedFigure"/>
      </w:pPr>
      <w:r>
        <w:drawing>
          <wp:inline>
            <wp:extent cx="5334000" cy="3048000"/>
            <wp:effectExtent b="0" l="0" r="0" t="0"/>
            <wp:docPr descr="Figure 8. Mean CDR3 amino acid length of the top 10 clones per individual, grouped by disease stage. Each dot represents one individual; boxplots show median and IQR. CDR3 length reflects the antigen-binding loop size of the most expanded clones." title="" id="93" name="Picture"/>
            <a:graphic>
              <a:graphicData uri="http://schemas.openxmlformats.org/drawingml/2006/picture">
                <pic:pic>
                  <pic:nvPicPr>
                    <pic:cNvPr descr="../immunedb_STATS_API/clonal_analysis/plots/03_cdr3_by_disease.png" id="94" name="Picture"/>
                    <pic:cNvPicPr>
                      <a:picLocks noChangeArrowheads="1" noChangeAspect="1"/>
                    </pic:cNvPicPr>
                  </pic:nvPicPr>
                  <pic:blipFill>
                    <a:blip r:embed="rId92"/>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8. Mean CDR3 amino acid length of the top 10 clones per individual, grouped by disease stage. Each dot represents one individual; boxplots show median and IQR. CDR3 length reflects the antigen-binding loop size of the most expanded clones.</w:t>
      </w:r>
    </w:p>
    <w:p>
      <w:pPr>
        <w:pStyle w:val="CaptionedFigure"/>
      </w:pPr>
      <w:r>
        <w:drawing>
          <wp:inline>
            <wp:extent cx="5334000" cy="3556000"/>
            <wp:effectExtent b="0" l="0" r="0" t="0"/>
            <wp:docPr descr="Figure 9. CDR3 length range (max minus min amino acid length) of the top 10 clones per individual, grouped by disease stage. Larger ranges indicate greater CDR3 structural heterogeneity among the dominant clones." title="" id="96" name="Picture"/>
            <a:graphic>
              <a:graphicData uri="http://schemas.openxmlformats.org/drawingml/2006/picture">
                <pic:pic>
                  <pic:nvPicPr>
                    <pic:cNvPr descr="../immunedb_STATS_API/clonal_analysis/plots/04_cdr3_range_by_disease.png" id="97" name="Picture"/>
                    <pic:cNvPicPr>
                      <a:picLocks noChangeArrowheads="1" noChangeAspect="1"/>
                    </pic:cNvPicPr>
                  </pic:nvPicPr>
                  <pic:blipFill>
                    <a:blip r:embed="rId9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9. CDR3 length range (max minus min amino acid length) of the top 10 clones per individual, grouped by disease stage. Larger ranges indicate greater CDR3 structural heterogeneity among the dominant clones.</w:t>
      </w:r>
    </w:p>
    <w:p>
      <w:pPr>
        <w:pStyle w:val="BodyText"/>
      </w:pPr>
      <w:r>
        <w:rPr>
          <w:bCs/>
          <w:b/>
        </w:rPr>
        <w:t xml:space="preserve">Selection pressure and mutation profile (NS/S ratios).</w:t>
      </w:r>
      <w:r>
        <w:t xml:space="preserve"> </w:t>
      </w:r>
      <w:r>
        <w:t xml:space="preserve">To analyze selection pressure and mutation burden, we computed NS/S ratios separately for CDR and framework (FW) regions across all clones and stratified by clone expansion status (</w:t>
      </w:r>
      <w:r>
        <w:rPr>
          <w:bCs/>
          <w:b/>
        </w:rPr>
        <w:t xml:space="preserve">Figure 10</w:t>
      </w:r>
      <w:r>
        <w:t xml:space="preserve">).</w:t>
      </w:r>
    </w:p>
    <w:p>
      <w:pPr>
        <w:pStyle w:val="CaptionedFigure"/>
      </w:pPr>
      <w:r>
        <w:drawing>
          <wp:inline>
            <wp:extent cx="5334000" cy="3073830"/>
            <wp:effectExtent b="0" l="0" r="0" t="0"/>
            <wp:docPr descr="Figure 10. Somatic hypermutation: NS/S ratios and mutation counts by disease stage. Top row (all clones): Panel A — CDR NS/S ratio per individual; Panel B — FW NS/S ratio (same y-axis scale as A); Panel C — average NS and S mutation counts as stacked bars for CDR and FW regions. Bottom row (expanded vs. rest): Panel D — CDR NS/S ratio for expanded (red, ≥20 unique sequences) versus non-expanded clones (blue, &lt;20); Panel E — FW NS/S ratio (same y-axis scale as D); Panel F — average NS and S mutation counts by region and expansion group. Boxplots show median and IQR; dashed line marks NS/S = 1.0. Kruskal-Wallis p-values annotated. Blood samples only." title="" id="99" name="Picture"/>
            <a:graphic>
              <a:graphicData uri="http://schemas.openxmlformats.org/drawingml/2006/picture">
                <pic:pic>
                  <pic:nvPicPr>
                    <pic:cNvPr descr="../immunedb_STATS_API/clonal_analysis/plots/21_mutations_rs_ratio.png" id="100" name="Picture"/>
                    <pic:cNvPicPr>
                      <a:picLocks noChangeArrowheads="1" noChangeAspect="1"/>
                    </pic:cNvPicPr>
                  </pic:nvPicPr>
                  <pic:blipFill>
                    <a:blip r:embed="rId98"/>
                    <a:stretch>
                      <a:fillRect/>
                    </a:stretch>
                  </pic:blipFill>
                  <pic:spPr bwMode="auto">
                    <a:xfrm>
                      <a:off x="0" y="0"/>
                      <a:ext cx="5334000" cy="3073830"/>
                    </a:xfrm>
                    <a:prstGeom prst="rect">
                      <a:avLst/>
                    </a:prstGeom>
                    <a:noFill/>
                    <a:ln w="9525">
                      <a:noFill/>
                      <a:headEnd/>
                      <a:tailEnd/>
                    </a:ln>
                  </pic:spPr>
                </pic:pic>
              </a:graphicData>
            </a:graphic>
          </wp:inline>
        </w:drawing>
      </w:r>
    </w:p>
    <w:p>
      <w:pPr>
        <w:pStyle w:val="ImageCaption"/>
      </w:pPr>
      <w:r>
        <w:t xml:space="preserve">Figure 10. Somatic hypermutation: NS/S ratios and mutation counts by disease stage. Top row (all clones): Panel A — CDR NS/S ratio per individual; Panel B — FW NS/S ratio (same y-axis scale as A); Panel C — average NS and S mutation counts as stacked bars for CDR and FW regions. Bottom row (expanded vs. rest): Panel D — CDR NS/S ratio for expanded (red, ≥20 unique sequences) versus non-expanded clones (blue, &lt;20); Panel E — FW NS/S ratio (same y-axis scale as D); Panel F — average NS and S mutation counts by region and expansion group. Boxplots show median and IQR; dashed line marks NS/S = 1.0. Kruskal-Wallis p-values annotated. Blood samples only.</w:t>
      </w:r>
    </w:p>
    <w:p>
      <w:pPr>
        <w:pStyle w:val="BodyText"/>
      </w:pPr>
      <w:r>
        <w:t xml:space="preserve">Across all clones (Panels A–C), CDR NS/S ratios were consistently above 1.0 in all disease categories, confirming positive selection in antigen-binding regions. The Kruskal-Wallis test revealed significant differences across groups (p &lt; 0.0001): Mild, Recovered, and COVID Naive individuals had higher median CDR NS/S ratios (~3.0–3.2), suggesting stronger positive selection, while Severe (2.66) and Moderate (2.03) cases showed lower ratios. FW NS/S ratios (Panel B) were markedly lower than CDR ratios (~1.4–1.6) and did not differ significantly across disease categories (p = 0.92), consistent with purifying selection maintaining framework structural integrity. The shared y-axis scale between Panels A and B makes this CDR–FW contrast immediately apparent.</w:t>
      </w:r>
    </w:p>
    <w:p>
      <w:pPr>
        <w:pStyle w:val="BodyText"/>
      </w:pPr>
      <w:r>
        <w:t xml:space="preserve">When stratified by clone expansion status (Panels D–F), expanded clones showed lower CDR NS/S ratios than non-expanded clones in disease groups (e.g., Moderate expanded: 1.33 vs. rest: ~3.0), while maintaining higher FW NS/S ratios (Moderate expanded: 1.91 vs. rest: ~1.6). This pattern suggests that expanded clones accumulate proportionally more synonymous mutations in CDR regions — possibly reflecting ongoing somatic hypermutation — while their framework regions tolerate more replacement mutations than non-expanded clones. Panels C and F show that expanded clones carry substantially higher absolute mutation counts (10–60 average mutations) compared to non-expanded clones (2–8), confirming extensive somatic hypermutation in clonally expanded populations across all disease stages.</w:t>
      </w:r>
    </w:p>
    <w:bookmarkEnd w:id="101"/>
    <w:bookmarkStart w:id="105" w:name="v-gene-usage"/>
    <w:p>
      <w:pPr>
        <w:pStyle w:val="Heading2"/>
      </w:pPr>
      <w:r>
        <w:rPr>
          <w:rStyle w:val="SectionNumber"/>
        </w:rPr>
        <w:t xml:space="preserve">7.5</w:t>
      </w:r>
      <w:r>
        <w:tab/>
      </w: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11</w:t>
      </w:r>
      <w:r>
        <w:t xml:space="preserve">).</w:t>
      </w:r>
    </w:p>
    <w:p>
      <w:pPr>
        <w:pStyle w:val="CaptionedFigure"/>
      </w:pPr>
      <w:r>
        <w:drawing>
          <wp:inline>
            <wp:extent cx="5334000" cy="3427007"/>
            <wp:effectExtent b="0" l="0" r="0" t="0"/>
            <wp:docPr descr="Figure 11. V gene usage heatmap by disease stage. Color intensity represents mean frequency of each V gene segment across individuals in each disease category. Only V genes present at ≥1% frequency in ≥85% of individuals are shown (16 genes). Rows: V gene segments; columns: disease categories." title="" id="103" name="Picture"/>
            <a:graphic>
              <a:graphicData uri="http://schemas.openxmlformats.org/drawingml/2006/picture">
                <pic:pic>
                  <pic:nvPicPr>
                    <pic:cNvPr descr="../immunedb_STATS_API/clonal_analysis/plots/23_v_gene_usage_heatmap.png" id="104" name="Picture"/>
                    <pic:cNvPicPr>
                      <a:picLocks noChangeArrowheads="1" noChangeAspect="1"/>
                    </pic:cNvPicPr>
                  </pic:nvPicPr>
                  <pic:blipFill>
                    <a:blip r:embed="rId102"/>
                    <a:stretch>
                      <a:fillRect/>
                    </a:stretch>
                  </pic:blipFill>
                  <pic:spPr bwMode="auto">
                    <a:xfrm>
                      <a:off x="0" y="0"/>
                      <a:ext cx="5334000" cy="3427007"/>
                    </a:xfrm>
                    <a:prstGeom prst="rect">
                      <a:avLst/>
                    </a:prstGeom>
                    <a:noFill/>
                    <a:ln w="9525">
                      <a:noFill/>
                      <a:headEnd/>
                      <a:tailEnd/>
                    </a:ln>
                  </pic:spPr>
                </pic:pic>
              </a:graphicData>
            </a:graphic>
          </wp:inline>
        </w:drawing>
      </w:r>
    </w:p>
    <w:p>
      <w:pPr>
        <w:pStyle w:val="ImageCaption"/>
      </w:pPr>
      <w:r>
        <w:t xml:space="preserve">Figure 11. V gene usage heatmap by disease stage. Color intensity represents mean frequency of each V gene segment across individuals in each disease category. Only V genes present at ≥1% frequency in ≥85% of individuals are shown (16 genes). Rows: V gene segments; columns: disease categories.</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05"/>
    <w:bookmarkStart w:id="112" w:name="age-and-gender-as-potential-confounders"/>
    <w:p>
      <w:pPr>
        <w:pStyle w:val="Heading2"/>
      </w:pPr>
      <w:r>
        <w:rPr>
          <w:rStyle w:val="SectionNumber"/>
        </w:rPr>
        <w:t xml:space="preserve">7.6</w:t>
      </w:r>
      <w:r>
        <w:tab/>
      </w: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800991"/>
            <wp:effectExtent b="0" l="0" r="0" t="0"/>
            <wp:docPr descr="Figure 12.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 title="" id="107" name="Picture"/>
            <a:graphic>
              <a:graphicData uri="http://schemas.openxmlformats.org/drawingml/2006/picture">
                <pic:pic>
                  <pic:nvPicPr>
                    <pic:cNvPr descr="../immunedb_STATS_API/clonal_analysis/plots/24_metrics_vs_age.png" id="108" name="Picture"/>
                    <pic:cNvPicPr>
                      <a:picLocks noChangeArrowheads="1" noChangeAspect="1"/>
                    </pic:cNvPicPr>
                  </pic:nvPicPr>
                  <pic:blipFill>
                    <a:blip r:embed="rId106"/>
                    <a:stretch>
                      <a:fillRect/>
                    </a:stretch>
                  </pic:blipFill>
                  <pic:spPr bwMode="auto">
                    <a:xfrm>
                      <a:off x="0" y="0"/>
                      <a:ext cx="5334000" cy="1800991"/>
                    </a:xfrm>
                    <a:prstGeom prst="rect">
                      <a:avLst/>
                    </a:prstGeom>
                    <a:noFill/>
                    <a:ln w="9525">
                      <a:noFill/>
                      <a:headEnd/>
                      <a:tailEnd/>
                    </a:ln>
                  </pic:spPr>
                </pic:pic>
              </a:graphicData>
            </a:graphic>
          </wp:inline>
        </w:drawing>
      </w:r>
    </w:p>
    <w:p>
      <w:pPr>
        <w:pStyle w:val="ImageCaption"/>
      </w:pPr>
      <w:r>
        <w:t xml:space="preserve">Figure 12.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w:t>
      </w:r>
    </w:p>
    <w:p>
      <w:pPr>
        <w:pStyle w:val="BodyText"/>
      </w:pPr>
      <w:r>
        <w:rPr>
          <w:bCs/>
          <w:b/>
        </w:rPr>
        <w:t xml:space="preserve">Age (</w:t>
      </w:r>
      <w:r>
        <w:t xml:space="preserve">Figure 12</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800759"/>
            <wp:effectExtent b="0" l="0" r="0" t="0"/>
            <wp:docPr descr="Figure 13. Clonal metrics by gender and disease stage. Panel A: clone count (log scale). Panel B: mean CDR3 length. Panel C: CDR NS/S ratio. Boxplots compare male and female individuals within each disease category." title="" id="110" name="Picture"/>
            <a:graphic>
              <a:graphicData uri="http://schemas.openxmlformats.org/drawingml/2006/picture">
                <pic:pic>
                  <pic:nvPicPr>
                    <pic:cNvPr descr="../immunedb_STATS_API/clonal_analysis/plots/25_metrics_vs_gender.png" id="111" name="Picture"/>
                    <pic:cNvPicPr>
                      <a:picLocks noChangeArrowheads="1" noChangeAspect="1"/>
                    </pic:cNvPicPr>
                  </pic:nvPicPr>
                  <pic:blipFill>
                    <a:blip r:embed="rId109"/>
                    <a:stretch>
                      <a:fillRect/>
                    </a:stretch>
                  </pic:blipFill>
                  <pic:spPr bwMode="auto">
                    <a:xfrm>
                      <a:off x="0" y="0"/>
                      <a:ext cx="5334000" cy="1800759"/>
                    </a:xfrm>
                    <a:prstGeom prst="rect">
                      <a:avLst/>
                    </a:prstGeom>
                    <a:noFill/>
                    <a:ln w="9525">
                      <a:noFill/>
                      <a:headEnd/>
                      <a:tailEnd/>
                    </a:ln>
                  </pic:spPr>
                </pic:pic>
              </a:graphicData>
            </a:graphic>
          </wp:inline>
        </w:drawing>
      </w:r>
    </w:p>
    <w:p>
      <w:pPr>
        <w:pStyle w:val="ImageCaption"/>
      </w:pPr>
      <w:r>
        <w:t xml:space="preserve">Figure 13. Clonal metrics by gender and disease stage. Panel A: clone count (log scale). Panel B: mean CDR3 length. Panel C: CDR NS/S ratio. Boxplots compare male and female individuals within each disease category.</w:t>
      </w:r>
    </w:p>
    <w:p>
      <w:pPr>
        <w:pStyle w:val="BodyText"/>
      </w:pPr>
      <w:r>
        <w:rPr>
          <w:bCs/>
          <w:b/>
        </w:rPr>
        <w:t xml:space="preserve">Gender (</w:t>
      </w:r>
      <w:r>
        <w:t xml:space="preserve">Figure 13</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12"/>
    <w:bookmarkStart w:id="119" w:name="sex-stratified-analysis"/>
    <w:p>
      <w:pPr>
        <w:pStyle w:val="Heading2"/>
      </w:pPr>
      <w:r>
        <w:rPr>
          <w:rStyle w:val="SectionNumber"/>
        </w:rPr>
        <w:t xml:space="preserve">7.7</w:t>
      </w:r>
      <w:r>
        <w:tab/>
      </w:r>
      <w:r>
        <w:t xml:space="preserve">Sex-Stratified Analysis</w:t>
      </w:r>
    </w:p>
    <w:p>
      <w:pPr>
        <w:pStyle w:val="FirstParagraph"/>
      </w:pPr>
      <w:r>
        <w:t xml:space="preserve">By combining disease_stage and sex metadata filters in a single query, IS-API enabled examination of mutation levels (</w:t>
      </w:r>
      <w:r>
        <w:rPr>
          <w:bCs/>
          <w:b/>
        </w:rPr>
        <w:t xml:space="preserve">Figure 14</w:t>
      </w:r>
      <w:r>
        <w:t xml:space="preserve">) and CDR3 lengths (</w:t>
      </w:r>
      <w:r>
        <w:rPr>
          <w:bCs/>
          <w:b/>
        </w:rPr>
        <w:t xml:space="preserve">Figure 15</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14. Mutation level in top 10 clones stratified by sex and disease stage. Male and female individuals compared within each disease category. Demonstrates IS-API’s ability to perform intersectional queries across multiple metadata dimensions in a single API call." title="" id="114" name="Picture"/>
            <a:graphic>
              <a:graphicData uri="http://schemas.openxmlformats.org/drawingml/2006/picture">
                <pic:pic>
                  <pic:nvPicPr>
                    <pic:cNvPr descr="../immunedb_STATS_API/clonal_analysis/plots/12_mutation_top10_by_sex_disease.png" id="115" name="Picture"/>
                    <pic:cNvPicPr>
                      <a:picLocks noChangeArrowheads="1" noChangeAspect="1"/>
                    </pic:cNvPicPr>
                  </pic:nvPicPr>
                  <pic:blipFill>
                    <a:blip r:embed="rId11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14. Mutation level in top 10 clones stratified by sex and disease stage. Male and female individuals compared within each disease category. Demonstrates IS-API’s ability to perform intersectional queries across multiple metadata dimensions in a single API call.</w:t>
      </w:r>
    </w:p>
    <w:p>
      <w:pPr>
        <w:pStyle w:val="CaptionedFigure"/>
      </w:pPr>
      <w:r>
        <w:drawing>
          <wp:inline>
            <wp:extent cx="5334000" cy="3048000"/>
            <wp:effectExtent b="0" l="0" r="0" t="0"/>
            <wp:docPr descr="Figure 15. CDR3 length in top 10 clones stratified by sex and disease stage. Mean CDR3 amino acid length of the top 10 clones per individual, grouped by sex within each disease category." title="" id="117" name="Picture"/>
            <a:graphic>
              <a:graphicData uri="http://schemas.openxmlformats.org/drawingml/2006/picture">
                <pic:pic>
                  <pic:nvPicPr>
                    <pic:cNvPr descr="../immunedb_STATS_API/clonal_analysis/plots/13_cdr3_top10_by_sex_disease.png" id="118" name="Picture"/>
                    <pic:cNvPicPr>
                      <a:picLocks noChangeArrowheads="1" noChangeAspect="1"/>
                    </pic:cNvPicPr>
                  </pic:nvPicPr>
                  <pic:blipFill>
                    <a:blip r:embed="rId11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15. CDR3 length in top 10 clones stratified by sex and disease stage. Mean CDR3 amino acid length of the top 10 clones per individual, grouped by sex within each disease category.</w:t>
      </w:r>
    </w:p>
    <w:bookmarkEnd w:id="119"/>
    <w:bookmarkStart w:id="129" w:name="within-individual-cross-tissue-analysis"/>
    <w:p>
      <w:pPr>
        <w:pStyle w:val="Heading2"/>
      </w:pPr>
      <w:r>
        <w:rPr>
          <w:rStyle w:val="SectionNumber"/>
        </w:rPr>
        <w:t xml:space="preserve">7.8</w:t>
      </w:r>
      <w:r>
        <w:tab/>
      </w: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16</w:t>
      </w:r>
      <w:r>
        <w:t xml:space="preserve">), clone sizes (</w:t>
      </w:r>
      <w:r>
        <w:rPr>
          <w:bCs/>
          <w:b/>
        </w:rPr>
        <w:t xml:space="preserve">Figure 17</w:t>
      </w:r>
      <w:r>
        <w:t xml:space="preserve">), and paired tissue measurements (</w:t>
      </w:r>
      <w:r>
        <w:rPr>
          <w:bCs/>
          <w:b/>
        </w:rPr>
        <w:t xml:space="preserve">Figure 18</w:t>
      </w:r>
      <w:r>
        <w:t xml:space="preserve">) within the same individual.</w:t>
      </w:r>
    </w:p>
    <w:p>
      <w:pPr>
        <w:pStyle w:val="CaptionedFigure"/>
      </w:pPr>
      <w:r>
        <w:drawing>
          <wp:inline>
            <wp:extent cx="5334000" cy="3440803"/>
            <wp:effectExtent b="0" l="0" r="0" t="0"/>
            <wp:docPr descr="Figure 16. Within-individual clone count across tissues. For individuals with samples from multiple tissues (e.g., blood and bone marrow in HC1, blood and lung in CD1), clone counts are compared across tissue types within the same individual." title="" id="121" name="Picture"/>
            <a:graphic>
              <a:graphicData uri="http://schemas.openxmlformats.org/drawingml/2006/picture">
                <pic:pic>
                  <pic:nvPicPr>
                    <pic:cNvPr descr="../immunedb_STATS_API/clonal_analysis/plots/14_within_subject_clone_count.png" id="122" name="Picture"/>
                    <pic:cNvPicPr>
                      <a:picLocks noChangeArrowheads="1" noChangeAspect="1"/>
                    </pic:cNvPicPr>
                  </pic:nvPicPr>
                  <pic:blipFill>
                    <a:blip r:embed="rId120"/>
                    <a:stretch>
                      <a:fillRect/>
                    </a:stretch>
                  </pic:blipFill>
                  <pic:spPr bwMode="auto">
                    <a:xfrm>
                      <a:off x="0" y="0"/>
                      <a:ext cx="5334000" cy="3440803"/>
                    </a:xfrm>
                    <a:prstGeom prst="rect">
                      <a:avLst/>
                    </a:prstGeom>
                    <a:noFill/>
                    <a:ln w="9525">
                      <a:noFill/>
                      <a:headEnd/>
                      <a:tailEnd/>
                    </a:ln>
                  </pic:spPr>
                </pic:pic>
              </a:graphicData>
            </a:graphic>
          </wp:inline>
        </w:drawing>
      </w:r>
    </w:p>
    <w:p>
      <w:pPr>
        <w:pStyle w:val="ImageCaption"/>
      </w:pPr>
      <w:r>
        <w:t xml:space="preserve">Figure 16. Within-individual clone count across tissues. For individuals with samples from multiple tissues (e.g., blood and bone marrow in HC1, blood and lung in CD1), clone counts are compared across tissue types within the same individual.</w:t>
      </w:r>
    </w:p>
    <w:p>
      <w:pPr>
        <w:pStyle w:val="CaptionedFigure"/>
      </w:pPr>
      <w:r>
        <w:drawing>
          <wp:inline>
            <wp:extent cx="5334000" cy="2571702"/>
            <wp:effectExtent b="0" l="0" r="0" t="0"/>
            <wp:docPr descr="Figure 17. Within-individual clone size across tissues. Clone size distributions compared between different tissue types within the same individual across studies." title="" id="124" name="Picture"/>
            <a:graphic>
              <a:graphicData uri="http://schemas.openxmlformats.org/drawingml/2006/picture">
                <pic:pic>
                  <pic:nvPicPr>
                    <pic:cNvPr descr="../immunedb_STATS_API/clonal_analysis/plots/15_within_subject_clone_size_cross_study.png" id="125" name="Picture"/>
                    <pic:cNvPicPr>
                      <a:picLocks noChangeArrowheads="1" noChangeAspect="1"/>
                    </pic:cNvPicPr>
                  </pic:nvPicPr>
                  <pic:blipFill>
                    <a:blip r:embed="rId123"/>
                    <a:stretch>
                      <a:fillRect/>
                    </a:stretch>
                  </pic:blipFill>
                  <pic:spPr bwMode="auto">
                    <a:xfrm>
                      <a:off x="0" y="0"/>
                      <a:ext cx="5334000" cy="2571702"/>
                    </a:xfrm>
                    <a:prstGeom prst="rect">
                      <a:avLst/>
                    </a:prstGeom>
                    <a:noFill/>
                    <a:ln w="9525">
                      <a:noFill/>
                      <a:headEnd/>
                      <a:tailEnd/>
                    </a:ln>
                  </pic:spPr>
                </pic:pic>
              </a:graphicData>
            </a:graphic>
          </wp:inline>
        </w:drawing>
      </w:r>
    </w:p>
    <w:p>
      <w:pPr>
        <w:pStyle w:val="ImageCaption"/>
      </w:pPr>
      <w:r>
        <w:t xml:space="preserve">Figure 17. Within-individual clone size across tissues. Clone size distributions compared between different tissue types within the same individual across studies.</w:t>
      </w:r>
    </w:p>
    <w:p>
      <w:pPr>
        <w:pStyle w:val="CaptionedFigure"/>
      </w:pPr>
      <w:r>
        <w:drawing>
          <wp:inline>
            <wp:extent cx="5334000" cy="3719514"/>
            <wp:effectExtent b="0" l="0" r="0" t="0"/>
            <wp:docPr descr="Figure 18. Within-individual tissue comparison using paired line plots. Lines connect measurements from different tissues within the same individual, illustrating tissue-specific repertoire differences. Each line represents one individual sampled from multiple tissues." title="" id="127" name="Picture"/>
            <a:graphic>
              <a:graphicData uri="http://schemas.openxmlformats.org/drawingml/2006/picture">
                <pic:pic>
                  <pic:nvPicPr>
                    <pic:cNvPr descr="../immunedb_STATS_API/clonal_analysis/plots/16_within_subject_tissue_lines.png" id="128" name="Picture"/>
                    <pic:cNvPicPr>
                      <a:picLocks noChangeArrowheads="1" noChangeAspect="1"/>
                    </pic:cNvPicPr>
                  </pic:nvPicPr>
                  <pic:blipFill>
                    <a:blip r:embed="rId126"/>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18. Within-individual tissue comparison using paired line plots. Lines connect measurements from different tissues within the same individual, illustrating tissue-specific repertoire differences. Each line represents one individual sampled from multiple tissues.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29"/>
    <w:bookmarkEnd w:id="130"/>
    <w:bookmarkStart w:id="135" w:name="discussion-and-conclusions"/>
    <w:p>
      <w:pPr>
        <w:pStyle w:val="Heading1"/>
      </w:pPr>
      <w:r>
        <w:rPr>
          <w:rStyle w:val="SectionNumber"/>
        </w:rPr>
        <w:t xml:space="preserve">8</w:t>
      </w:r>
      <w:r>
        <w:tab/>
      </w:r>
      <w:r>
        <w:t xml:space="preserve">Discussion and Conclusions</w:t>
      </w:r>
    </w:p>
    <w:bookmarkStart w:id="131" w:name="X1adb304ed4de094e294cdd20c5432b83670de9e"/>
    <w:p>
      <w:pPr>
        <w:pStyle w:val="Heading2"/>
      </w:pPr>
      <w:r>
        <w:rPr>
          <w:rStyle w:val="SectionNumber"/>
        </w:rPr>
        <w:t xml:space="preserve">8.1</w:t>
      </w:r>
      <w:r>
        <w:tab/>
      </w: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31"/>
    <w:bookmarkStart w:id="132" w:name="X5a10b7ac314f547fa47742c173a60aa39f2ce55"/>
    <w:p>
      <w:pPr>
        <w:pStyle w:val="Heading2"/>
      </w:pPr>
      <w:r>
        <w:rPr>
          <w:rStyle w:val="SectionNumber"/>
        </w:rPr>
        <w:t xml:space="preserve">8.2</w:t>
      </w:r>
      <w:r>
        <w:tab/>
      </w: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32"/>
    <w:bookmarkStart w:id="133" w:name="limitations"/>
    <w:p>
      <w:pPr>
        <w:pStyle w:val="Heading2"/>
      </w:pPr>
      <w:r>
        <w:rPr>
          <w:rStyle w:val="SectionNumber"/>
        </w:rPr>
        <w:t xml:space="preserve">8.3</w:t>
      </w:r>
      <w:r>
        <w:tab/>
      </w: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33"/>
    <w:bookmarkStart w:id="134" w:name="conclusions"/>
    <w:p>
      <w:pPr>
        <w:pStyle w:val="Heading2"/>
      </w:pPr>
      <w:r>
        <w:rPr>
          <w:rStyle w:val="SectionNumber"/>
        </w:rPr>
        <w:t xml:space="preserve">8.4</w:t>
      </w:r>
      <w:r>
        <w:tab/>
      </w: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34"/>
    <w:bookmarkEnd w:id="135"/>
    <w:bookmarkStart w:id="136" w:name="references"/>
    <w:p>
      <w:pPr>
        <w:pStyle w:val="Heading1"/>
      </w:pPr>
      <w:r>
        <w:rPr>
          <w:rStyle w:val="SectionNumber"/>
        </w:rPr>
        <w:t xml:space="preserve">9</w:t>
      </w:r>
      <w:r>
        <w:tab/>
      </w:r>
      <w:r>
        <w:t xml:space="preserve">References</w:t>
      </w:r>
    </w:p>
    <w:p>
      <w:pPr>
        <w:numPr>
          <w:ilvl w:val="0"/>
          <w:numId w:val="1007"/>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07"/>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07"/>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07"/>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07"/>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07"/>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07"/>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07"/>
        </w:numPr>
      </w:pPr>
      <w:r>
        <w:t xml:space="preserve">Victora, G. D., &amp; Nussenzweig, M. C. (2012). Germinal centers.</w:t>
      </w:r>
      <w:r>
        <w:t xml:space="preserve"> </w:t>
      </w:r>
      <w:r>
        <w:rPr>
          <w:iCs/>
          <w:i/>
        </w:rPr>
        <w:t xml:space="preserve">Annual Review of Immunology</w:t>
      </w:r>
      <w:r>
        <w:t xml:space="preserve">, 30, 429-457.</w:t>
      </w:r>
    </w:p>
    <w:p>
      <w:pPr>
        <w:numPr>
          <w:ilvl w:val="0"/>
          <w:numId w:val="1007"/>
        </w:numPr>
      </w:pPr>
      <w:r>
        <w:t xml:space="preserve">Kim, D., &amp; Park, D. (2019). Deep sequencing of B cell receptor repertoire.</w:t>
      </w:r>
      <w:r>
        <w:t xml:space="preserve"> </w:t>
      </w:r>
      <w:r>
        <w:rPr>
          <w:iCs/>
          <w:i/>
        </w:rPr>
        <w:t xml:space="preserve">BMB Reports</w:t>
      </w:r>
      <w:r>
        <w:t xml:space="preserve">, 52(9), 540-547.</w:t>
      </w:r>
    </w:p>
    <w:p>
      <w:pPr>
        <w:numPr>
          <w:ilvl w:val="0"/>
          <w:numId w:val="1007"/>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07"/>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07"/>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07"/>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07"/>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07"/>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07"/>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07"/>
        </w:numPr>
      </w:pPr>
      <w:r>
        <w:t xml:space="preserve">iReceptor Gateway. https://gateway.ireceptor.org</w:t>
      </w:r>
    </w:p>
    <w:p>
      <w:pPr>
        <w:numPr>
          <w:ilvl w:val="0"/>
          <w:numId w:val="1007"/>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07"/>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07"/>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07"/>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07"/>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07"/>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07"/>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07"/>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07"/>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07"/>
        </w:numPr>
      </w:pPr>
      <w:r>
        <w:t xml:space="preserve">Lambert, M., Surhone, L., Tennoe, M. T., &amp; Henssonow, S. F. (2010).</w:t>
      </w:r>
      <w:r>
        <w:t xml:space="preserve"> </w:t>
      </w:r>
      <w:r>
        <w:rPr>
          <w:iCs/>
          <w:i/>
        </w:rPr>
        <w:t xml:space="preserve">Node.js</w:t>
      </w:r>
      <w:r>
        <w:t xml:space="preserve">. Betascript Publishing.</w:t>
      </w:r>
    </w:p>
    <w:p>
      <w:pPr>
        <w:numPr>
          <w:ilvl w:val="0"/>
          <w:numId w:val="1007"/>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07"/>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07"/>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07"/>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07"/>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07"/>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07"/>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07"/>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07"/>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07"/>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07"/>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07"/>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07"/>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07"/>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07"/>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07"/>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07"/>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07"/>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07"/>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07"/>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07"/>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p>
      <w:pPr>
        <w:numPr>
          <w:ilvl w:val="0"/>
          <w:numId w:val="1007"/>
        </w:numPr>
      </w:pPr>
      <w:r>
        <w:t xml:space="preserve">Goel, R. R., Painter, M. M., Apostolidis, S. A., et al. (2021). mRNA vaccines induce durable immune memory to SARS-CoV-2 and variants of concern.</w:t>
      </w:r>
      <w:r>
        <w:t xml:space="preserve"> </w:t>
      </w:r>
      <w:r>
        <w:rPr>
          <w:iCs/>
          <w:i/>
        </w:rPr>
        <w:t xml:space="preserve">Science</w:t>
      </w:r>
      <w:r>
        <w:t xml:space="preserve">, 374(6572), abm0829.</w:t>
      </w:r>
    </w:p>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2" Target="media/rId82.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86" Target="media/rId86.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98" Target="media/rId98.png" /><Relationship Type="http://schemas.openxmlformats.org/officeDocument/2006/relationships/image" Id="rId89" Target="media/rId8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79" Target="media/rId79.png" /><Relationship Type="http://schemas.openxmlformats.org/officeDocument/2006/relationships/image" Id="rId69" Target="media/rId69.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2026-09-05T14:04:09Z</dcterms:created>
  <dcterms:modified xsi:type="dcterms:W3CDTF">2026-09-05T14:04:09Z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