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4" w:name="list-of-figures"/>
    <w:p>
      <w:pPr>
        <w:pStyle w:val="Heading1"/>
      </w:pPr>
      <w:r>
        <w:t xml:space="preserve">List of Figures</w:t>
      </w:r>
    </w:p>
    <w:bookmarkStart w:id="22"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2"/>
    <w:bookmarkStart w:id="23"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3"/>
    <w:bookmarkEnd w:id="24"/>
    <w:bookmarkStart w:id="29" w:name="introduction"/>
    <w:p>
      <w:pPr>
        <w:pStyle w:val="Heading1"/>
      </w:pPr>
      <w:r>
        <w:t xml:space="preserve">Introduction</w:t>
      </w:r>
    </w:p>
    <w:bookmarkStart w:id="25"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w:t>
      </w:r>
      <w:r>
        <w:t xml:space="preserve"> </w:t>
      </w:r>
      <w:r>
        <w:t xml:space="preserve">[@Paul2013]</w:t>
      </w:r>
      <w:r>
        <w:t xml:space="preserve">. During development in the bone marrow, B cells undergo rearrangement of Variable (V), Diversity (D), and Joining (J) gene segments to create a wide diversity of B cell receptors (BCRs). According to the clonal selection theory</w:t>
      </w:r>
      <w:r>
        <w:t xml:space="preserve"> </w:t>
      </w:r>
      <w:r>
        <w:t xml:space="preserve">[@Burnet1957]</w:t>
      </w:r>
      <w:r>
        <w:t xml:space="preserve">, all receptors expressed by the same B cell share the same unique antigen-binding site. During an immune response, B cells undergo rapid cycles of proliferation and targeted somatic hypermutation (SHM) in both heavy (H) chain and light (L) chain variable region genes</w:t>
      </w:r>
      <w:r>
        <w:t xml:space="preserve"> </w:t>
      </w:r>
      <w:r>
        <w:t xml:space="preserve">[@DiNoia2007]</w:t>
      </w:r>
      <w:r>
        <w:t xml:space="preserve">.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w:t>
      </w:r>
      <w:r>
        <w:t xml:space="preserve"> </w:t>
      </w:r>
      <w:r>
        <w:t xml:space="preserve">[@Schwartz2013; @Hershberg2015]</w:t>
      </w:r>
      <w:r>
        <w:t xml:space="preserve">.</w:t>
      </w:r>
    </w:p>
    <w:p>
      <w:pPr>
        <w:pStyle w:val="BodyText"/>
      </w:pPr>
      <w:r>
        <w:t xml:space="preserve">The diversity of the immune repertoire is extremely high, with an estimated 10^11 different BCRs existing in a single individual</w:t>
      </w:r>
      <w:r>
        <w:t xml:space="preserve"> </w:t>
      </w:r>
      <w:r>
        <w:t xml:space="preserve">[@Briney2019]</w:t>
      </w:r>
      <w:r>
        <w:t xml:space="preserve">. While it is clear that the diversity of the immune system is fundamental to its function</w:t>
      </w:r>
      <w:r>
        <w:t xml:space="preserve"> </w:t>
      </w:r>
      <w:r>
        <w:t xml:space="preserve">[@Paul2013]</w:t>
      </w:r>
      <w:r>
        <w:t xml:space="preserve">, the actual forms that immune repertoire diversity takes, in health and disease, have not been fully characterized</w:t>
      </w:r>
      <w:r>
        <w:t xml:space="preserve"> </w:t>
      </w:r>
      <w:r>
        <w:t xml:space="preserve">[@Schwartz2013]</w:t>
      </w:r>
      <w:r>
        <w:t xml:space="preserve">. Analyzing B cell repertoires helps understand how the immune system responds to infections, vaccinations, and diseases including cancer and autoimmune disorders</w:t>
      </w:r>
      <w:r>
        <w:t xml:space="preserve"> </w:t>
      </w:r>
      <w:r>
        <w:t xml:space="preserve">[@Yuuki2024]</w:t>
      </w:r>
      <w:r>
        <w:t xml:space="preserve">. Insights from repertoire studies guide the design of more effective vaccines by identifying specific mutations and the structural features of reactive antibody regions</w:t>
      </w:r>
      <w:r>
        <w:t xml:space="preserve"> </w:t>
      </w:r>
      <w:r>
        <w:t xml:space="preserve">[@Victora2012]</w:t>
      </w:r>
      <w:r>
        <w:t xml:space="preserve">. Additionally, tracking B cell repertoire changes and identifying characteristic patterns can be used for disease diagnosis, monitoring disease progression, predicting severity, and tailoring personalized treatments</w:t>
      </w:r>
      <w:r>
        <w:t xml:space="preserve"> </w:t>
      </w:r>
      <w:r>
        <w:t xml:space="preserve">[@Kim2019]</w:t>
      </w:r>
      <w:r>
        <w:t xml:space="preserve">.</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w:t>
      </w:r>
      <w:r>
        <w:t xml:space="preserve"> </w:t>
      </w:r>
      <w:r>
        <w:t xml:space="preserve">[@Xu2000]</w:t>
      </w:r>
      <w:r>
        <w:t xml:space="preserve">. The length and amino acid composition of the CDR3 loop directly influence the range of antigens an antibody can recognize</w:t>
      </w:r>
      <w:r>
        <w:t xml:space="preserve"> </w:t>
      </w:r>
      <w:r>
        <w:t xml:space="preserve">[@Saada2007]</w:t>
      </w:r>
      <w:r>
        <w:t xml:space="preserve">.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w:t>
      </w:r>
      <w:r>
        <w:t xml:space="preserve"> </w:t>
      </w:r>
      <w:r>
        <w:t xml:space="preserve">[@Hershberg2008; @Yaari2015]</w:t>
      </w:r>
      <w:r>
        <w:t xml:space="preserve">.</w:t>
      </w:r>
    </w:p>
    <w:bookmarkEnd w:id="25"/>
    <w:bookmarkStart w:id="26"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w:t>
      </w:r>
      <w:r>
        <w:t xml:space="preserve"> </w:t>
      </w:r>
      <w:r>
        <w:t xml:space="preserve">[@Kim2019]</w:t>
      </w:r>
      <w:r>
        <w:t xml:space="preserve">. High-throughput BCR repertoire sequencing was first described by Glanville et al. in 2009</w:t>
      </w:r>
      <w:r>
        <w:t xml:space="preserve"> </w:t>
      </w:r>
      <w:r>
        <w:t xml:space="preserve">[@Glanville2009]</w:t>
      </w:r>
      <w:r>
        <w:t xml:space="preserve">, and since then the volume of available data has increased exponentially</w:t>
      </w:r>
      <w:r>
        <w:t xml:space="preserve"> </w:t>
      </w:r>
      <w:r>
        <w:t xml:space="preserve">[@Marks2020]</w:t>
      </w:r>
      <w:r>
        <w:t xml:space="preserve">. Recently, significant efforts have been made to move beyond the model where most AIRR-seq data are stored and curated by individual laboratories</w:t>
      </w:r>
      <w:r>
        <w:t xml:space="preserve"> </w:t>
      </w:r>
      <w:r>
        <w:t xml:space="preserve">[@Corrie2018; @iReceptor]</w:t>
      </w:r>
      <w:r>
        <w:t xml:space="preserve">.</w:t>
      </w:r>
    </w:p>
    <w:p>
      <w:pPr>
        <w:pStyle w:val="BodyText"/>
      </w:pPr>
      <w:r>
        <w:t xml:space="preserve">A variety of tools, software platforms, and algorithms have been developed to store and analyze sequencing data</w:t>
      </w:r>
      <w:r>
        <w:t xml:space="preserve"> </w:t>
      </w:r>
      <w:r>
        <w:t xml:space="preserve">[@Guo2019; @Olsen2022]</w:t>
      </w:r>
      <w:r>
        <w:t xml:space="preserve">.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w:t>
      </w:r>
      <w:r>
        <w:t xml:space="preserve"> </w:t>
      </w:r>
      <w:r>
        <w:t xml:space="preserve">[@iReceptor]</w:t>
      </w:r>
      <w:r>
        <w:t xml:space="preserve"> </w:t>
      </w:r>
      <w:r>
        <w:t xml:space="preserve">—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w:t>
      </w:r>
      <w:r>
        <w:t xml:space="preserve"> </w:t>
      </w:r>
      <w:r>
        <w:t xml:space="preserve">[@VanderHeiden2018]</w:t>
      </w:r>
      <w:r>
        <w:t xml:space="preserve">.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w:t>
      </w:r>
      <w:r>
        <w:t xml:space="preserve"> </w:t>
      </w:r>
      <w:r>
        <w:t xml:space="preserve">[@Corrie2018]</w:t>
      </w:r>
      <w:r>
        <w:t xml:space="preserve">,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w:t>
      </w:r>
      <w:r>
        <w:t xml:space="preserve"> </w:t>
      </w:r>
      <w:r>
        <w:t xml:space="preserve">[@Gupta2015]</w:t>
      </w:r>
      <w:r>
        <w:t xml:space="preserve"> </w:t>
      </w:r>
      <w:r>
        <w:t xml:space="preserve">provides sophisticated packages for defining and analyzing clones and building lineage trees. MiXCR</w:t>
      </w:r>
      <w:r>
        <w:t xml:space="preserve"> </w:t>
      </w:r>
      <w:r>
        <w:t xml:space="preserve">[@Bolotin2015]</w:t>
      </w:r>
      <w:r>
        <w:t xml:space="preserve"> </w:t>
      </w:r>
      <w:r>
        <w:t xml:space="preserve">offers comprehensive adaptive immunity profiling from raw sequences. IgBLAST</w:t>
      </w:r>
      <w:r>
        <w:t xml:space="preserve"> </w:t>
      </w:r>
      <w:r>
        <w:t xml:space="preserve">[@Ye2013]</w:t>
      </w:r>
      <w:r>
        <w:t xml:space="preserve"> </w:t>
      </w:r>
      <w:r>
        <w:t xml:space="preserve">enables immunoglobulin variable domain sequence analysis.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w:t>
      </w:r>
      <w:r>
        <w:t xml:space="preserve"> </w:t>
      </w:r>
      <w:r>
        <w:t xml:space="preserve">[@Rosenfeld2017]</w:t>
      </w:r>
      <w:r>
        <w:t xml:space="preserve">,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6"/>
    <w:bookmarkStart w:id="27"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w:t>
      </w:r>
      <w:r>
        <w:t xml:space="preserve"> </w:t>
      </w:r>
      <w:r>
        <w:t xml:space="preserve">[@Christley2020]</w:t>
      </w:r>
      <w:r>
        <w:t xml:space="preserve">.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7"/>
    <w:bookmarkStart w:id="28"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w:t>
      </w:r>
      <w:r>
        <w:t xml:space="preserve"> </w:t>
      </w:r>
      <w:r>
        <w:t xml:space="preserve">[@Hoehn2021]</w:t>
      </w:r>
      <w:r>
        <w:t xml:space="preserve">.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w:t>
      </w:r>
      <w:r>
        <w:t xml:space="preserve"> </w:t>
      </w:r>
      <w:r>
        <w:t xml:space="preserve">[@Hoehn2021; @Galson2020; @Nielsen2020]</w:t>
      </w:r>
      <w:r>
        <w:t xml:space="preserve">.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8"/>
    <w:bookmarkEnd w:id="29"/>
    <w:bookmarkStart w:id="30"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0"/>
    <w:bookmarkStart w:id="39" w:name="materials-and-methods"/>
    <w:p>
      <w:pPr>
        <w:pStyle w:val="Heading1"/>
      </w:pPr>
      <w:r>
        <w:t xml:space="preserve">Materials and Methods</w:t>
      </w:r>
    </w:p>
    <w:bookmarkStart w:id="31"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w:t>
      </w:r>
      <w:r>
        <w:t xml:space="preserve"> </w:t>
      </w:r>
      <w:r>
        <w:t xml:space="preserve">[@Rubelt2017]</w:t>
      </w:r>
      <w:r>
        <w:t xml:space="preserve"> </w:t>
      </w:r>
      <w:r>
        <w:t xml:space="preserve">while allowing flexibility for experiment-specific fields. Each study was processed through the ImmuneDB pipeline — annotated with IgBLAST</w:t>
      </w:r>
      <w:r>
        <w:t xml:space="preserve"> </w:t>
      </w:r>
      <w:r>
        <w:t xml:space="preserve">[@Ye2013]</w:t>
      </w:r>
      <w:r>
        <w:t xml:space="preserve"> </w:t>
      </w:r>
      <w:r>
        <w:t xml:space="preserve">for germline assignment, clustered into clones, and stored with associated metadata in individual ImmuneDB database instances.</w:t>
      </w:r>
    </w:p>
    <w:p>
      <w:pPr>
        <w:pStyle w:val="BodyText"/>
      </w:pPr>
      <w:r>
        <w:t xml:space="preserve">Six studies were included in the analysis (</w:t>
      </w:r>
      <w:r>
        <w:rPr>
          <w:bCs/>
          <w:b/>
        </w:rPr>
        <w:t xml:space="preserve">Table 1</w:t>
      </w:r>
      <w:r>
        <w:t xml:space="preserve">):</w:t>
      </w:r>
    </w:p>
    <w:p>
      <w:pPr>
        <w:numPr>
          <w:ilvl w:val="0"/>
          <w:numId w:val="1003"/>
        </w:numPr>
        <w:pStyle w:val="Compact"/>
      </w:pPr>
      <w:r>
        <w:rPr>
          <w:bCs/>
          <w:b/>
        </w:rPr>
        <w:t xml:space="preserve">CD1</w:t>
      </w:r>
      <w:r>
        <w:t xml:space="preserve"> </w:t>
      </w:r>
      <w:r>
        <w:t xml:space="preserve">(Covid19_db3): 51 individuals with severe, mild, and moderate COVID-19 from multiple hospital cohorts</w:t>
      </w:r>
      <w:r>
        <w:t xml:space="preserve"> </w:t>
      </w:r>
      <w:r>
        <w:t xml:space="preserve">[@KuriCervantes2020; @Montague2020]</w:t>
      </w:r>
      <w:r>
        <w:t xml:space="preserve">.</w:t>
      </w:r>
    </w:p>
    <w:p>
      <w:pPr>
        <w:numPr>
          <w:ilvl w:val="0"/>
          <w:numId w:val="1003"/>
        </w:numPr>
        <w:pStyle w:val="Compact"/>
      </w:pPr>
      <w:r>
        <w:rPr>
          <w:bCs/>
          <w:b/>
        </w:rPr>
        <w:t xml:space="preserve">CD2</w:t>
      </w:r>
      <w:r>
        <w:t xml:space="preserve"> </w:t>
      </w:r>
      <w:r>
        <w:t xml:space="preserve">(covid_db2): 19 individuals including severe, non-severe, recovered, and healthy individuals</w:t>
      </w:r>
      <w:r>
        <w:t xml:space="preserve"> </w:t>
      </w:r>
      <w:r>
        <w:t xml:space="preserve">[@Nielsen2020]</w:t>
      </w:r>
      <w:r>
        <w:t xml:space="preserve">.</w:t>
      </w:r>
    </w:p>
    <w:p>
      <w:pPr>
        <w:numPr>
          <w:ilvl w:val="0"/>
          <w:numId w:val="1003"/>
        </w:numPr>
        <w:pStyle w:val="Compact"/>
      </w:pPr>
      <w:r>
        <w:rPr>
          <w:bCs/>
          <w:b/>
        </w:rPr>
        <w:t xml:space="preserve">CD3</w:t>
      </w:r>
      <w:r>
        <w:t xml:space="preserve"> </w:t>
      </w:r>
      <w:r>
        <w:t xml:space="preserve">(covid19): 13 individuals with severe COVID-19 and healthy controls</w:t>
      </w:r>
      <w:r>
        <w:t xml:space="preserve"> </w:t>
      </w:r>
      <w:r>
        <w:t xml:space="preserve">[@Galson2020]</w:t>
      </w:r>
      <w:r>
        <w:t xml:space="preserve">.</w:t>
      </w:r>
    </w:p>
    <w:p>
      <w:pPr>
        <w:numPr>
          <w:ilvl w:val="0"/>
          <w:numId w:val="1003"/>
        </w:numPr>
        <w:pStyle w:val="Compact"/>
      </w:pPr>
      <w:r>
        <w:rPr>
          <w:bCs/>
          <w:b/>
        </w:rPr>
        <w:t xml:space="preserve">CVX1</w:t>
      </w:r>
      <w:r>
        <w:t xml:space="preserve"> </w:t>
      </w:r>
      <w:r>
        <w:t xml:space="preserve">(vaccine2): 12 individuals from a COVID-19 mRNA vaccine study, including COVID-recovered vaccinees and COVID-naive vaccinees</w:t>
      </w:r>
      <w:r>
        <w:t xml:space="preserve"> </w:t>
      </w:r>
      <w:r>
        <w:t xml:space="preserve">[@Goel2021]</w:t>
      </w:r>
      <w:r>
        <w:t xml:space="preserve">.</w:t>
      </w:r>
    </w:p>
    <w:p>
      <w:pPr>
        <w:numPr>
          <w:ilvl w:val="0"/>
          <w:numId w:val="1003"/>
        </w:numPr>
        <w:pStyle w:val="Compact"/>
      </w:pPr>
      <w:r>
        <w:rPr>
          <w:bCs/>
          <w:b/>
        </w:rPr>
        <w:t xml:space="preserve">CVX2</w:t>
      </w:r>
      <w:r>
        <w:t xml:space="preserve"> </w:t>
      </w:r>
      <w:r>
        <w:t xml:space="preserve">(covid_vaccine_new): 5 individuals from a second vaccine cohort with recovered individuals.</w:t>
      </w:r>
    </w:p>
    <w:p>
      <w:pPr>
        <w:numPr>
          <w:ilvl w:val="0"/>
          <w:numId w:val="1003"/>
        </w:numPr>
        <w:pStyle w:val="Compact"/>
      </w:pPr>
      <w:r>
        <w:rPr>
          <w:bCs/>
          <w:b/>
        </w:rPr>
        <w:t xml:space="preserve">HC1</w:t>
      </w:r>
      <w:r>
        <w:t xml:space="preserve"> </w:t>
      </w:r>
      <w:r>
        <w:t xml:space="preserve">(lp16): 6 healthy control individuals (deceased organ donors) with no history of COVID-19 or vaccination</w:t>
      </w:r>
      <w:r>
        <w:t xml:space="preserve"> </w:t>
      </w:r>
      <w:r>
        <w:t xml:space="preserve">[@Meng2017]</w:t>
      </w:r>
      <w:r>
        <w:t xml:space="preserve">.</w:t>
      </w:r>
    </w:p>
    <w:p>
      <w:pPr>
        <w:pStyle w:val="FirstParagraph"/>
      </w:pPr>
      <w:r>
        <w:t xml:space="preserve">A seventh study (sykesIgblast2020, pediatric gut transplant) was available in the IS-API but excluded from this analysis as it is not relevant to COVID-19 or adult healthy controls.</w:t>
      </w:r>
    </w:p>
    <w:bookmarkEnd w:id="31"/>
    <w:bookmarkStart w:id="32" w:name="individual-selection-and-exclusions"/>
    <w:p>
      <w:pPr>
        <w:pStyle w:val="Heading2"/>
      </w:pPr>
      <w:r>
        <w:t xml:space="preserve">Individual Selection and Exclusions</w:t>
      </w:r>
    </w:p>
    <w:p>
      <w:pPr>
        <w:pStyle w:val="FirstParagraph"/>
      </w:pPr>
      <w:r>
        <w:t xml:space="preserve">From the six studies, we identified 94 unique individuals with blood-derived samples. Five individuals were excluded due to data quality issues or ambiguous metadata: three from HC1 (D159, D154, Hu-1) and two from CVX2 (Fb, Water — control samples). Three additional individuals from CD3 (H3, H4, H8) were healthy controls who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2"/>
    <w:bookmarkStart w:id="33"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4"/>
        </w:numPr>
        <w:pStyle w:val="Compact"/>
      </w:pPr>
      <w:r>
        <w:rPr>
          <w:bCs/>
          <w:b/>
        </w:rPr>
        <w:t xml:space="preserve">Severe</w:t>
      </w:r>
      <w:r>
        <w:t xml:space="preserve">:</w:t>
      </w:r>
      <w:r>
        <w:t xml:space="preserve"> </w:t>
      </w:r>
      <w:r>
        <w:t xml:space="preserve">“</w:t>
      </w:r>
      <w:r>
        <w:t xml:space="preserve">severe</w:t>
      </w:r>
      <w:r>
        <w:t xml:space="preserve">”</w:t>
      </w:r>
      <w:r>
        <w:t xml:space="preserve"> </w:t>
      </w:r>
      <w:r>
        <w:t xml:space="preserve">(CD2),</w:t>
      </w:r>
      <w:r>
        <w:t xml:space="preserve"> </w:t>
      </w:r>
      <w:r>
        <w:t xml:space="preserve">“</w:t>
      </w:r>
      <w:r>
        <w:t xml:space="preserve">Early phase hypoxaemia</w:t>
      </w:r>
      <w:r>
        <w:t xml:space="preserve">”</w:t>
      </w:r>
      <w:r>
        <w:t xml:space="preserve"> </w:t>
      </w:r>
      <w:r>
        <w:t xml:space="preserve">(CD1)</w:t>
      </w:r>
    </w:p>
    <w:p>
      <w:pPr>
        <w:numPr>
          <w:ilvl w:val="0"/>
          <w:numId w:val="1004"/>
        </w:numPr>
        <w:pStyle w:val="Compact"/>
      </w:pPr>
      <w:r>
        <w:rPr>
          <w:bCs/>
          <w:b/>
        </w:rPr>
        <w:t xml:space="preserve">Moderate</w:t>
      </w:r>
      <w:r>
        <w:t xml:space="preserve">:</w:t>
      </w:r>
      <w:r>
        <w:t xml:space="preserve"> </w:t>
      </w:r>
      <w:r>
        <w:t xml:space="preserve">“</w:t>
      </w:r>
      <w:r>
        <w:t xml:space="preserve">Early phase-Stable</w:t>
      </w:r>
      <w:r>
        <w:t xml:space="preserve">”</w:t>
      </w:r>
      <w:r>
        <w:t xml:space="preserve"> </w:t>
      </w:r>
      <w:r>
        <w:t xml:space="preserve">(CD1),</w:t>
      </w:r>
      <w:r>
        <w:t xml:space="preserve"> </w:t>
      </w:r>
      <w:r>
        <w:t xml:space="preserve">“</w:t>
      </w:r>
      <w:r>
        <w:t xml:space="preserve">Early phase-Improving</w:t>
      </w:r>
      <w:r>
        <w:t xml:space="preserve">”</w:t>
      </w:r>
      <w:r>
        <w:t xml:space="preserve"> </w:t>
      </w:r>
      <w:r>
        <w:t xml:space="preserve">(CD1)</w:t>
      </w:r>
    </w:p>
    <w:p>
      <w:pPr>
        <w:numPr>
          <w:ilvl w:val="0"/>
          <w:numId w:val="1004"/>
        </w:numPr>
        <w:pStyle w:val="Compact"/>
      </w:pPr>
      <w:r>
        <w:rPr>
          <w:bCs/>
          <w:b/>
        </w:rPr>
        <w:t xml:space="preserve">Mild</w:t>
      </w:r>
      <w:r>
        <w:t xml:space="preserve">:</w:t>
      </w:r>
      <w:r>
        <w:t xml:space="preserve"> </w:t>
      </w:r>
      <w:r>
        <w:t xml:space="preserve">“</w:t>
      </w:r>
      <w:r>
        <w:t xml:space="preserve">mild</w:t>
      </w:r>
      <w:r>
        <w:t xml:space="preserve">”</w:t>
      </w:r>
      <w:r>
        <w:t xml:space="preserve"> </w:t>
      </w:r>
      <w:r>
        <w:t xml:space="preserve">(CD2),</w:t>
      </w:r>
      <w:r>
        <w:t xml:space="preserve"> </w:t>
      </w:r>
      <w:r>
        <w:t xml:space="preserve">“</w:t>
      </w:r>
      <w:r>
        <w:t xml:space="preserve">non-severe</w:t>
      </w:r>
      <w:r>
        <w:t xml:space="preserve">”</w:t>
      </w:r>
      <w:r>
        <w:t xml:space="preserve"> </w:t>
      </w:r>
      <w:r>
        <w:t xml:space="preserve">(CD2)</w:t>
      </w:r>
    </w:p>
    <w:p>
      <w:pPr>
        <w:numPr>
          <w:ilvl w:val="0"/>
          <w:numId w:val="1004"/>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 </w:t>
      </w:r>
      <w:r>
        <w:t xml:space="preserve">(CD1),</w:t>
      </w:r>
      <w:r>
        <w:t xml:space="preserve"> </w:t>
      </w:r>
      <w:r>
        <w:t xml:space="preserve">“</w:t>
      </w:r>
      <w:r>
        <w:t xml:space="preserve">Recovering post-ICU -Improving</w:t>
      </w:r>
      <w:r>
        <w:t xml:space="preserve">”</w:t>
      </w:r>
      <w:r>
        <w:t xml:space="preserve"> </w:t>
      </w:r>
      <w:r>
        <w:t xml:space="preserve">(CD1),</w:t>
      </w:r>
      <w:r>
        <w:t xml:space="preserve"> </w:t>
      </w:r>
      <w:r>
        <w:t xml:space="preserve">“</w:t>
      </w:r>
      <w:r>
        <w:t xml:space="preserve">Recovering post-ICU</w:t>
      </w:r>
      <w:r>
        <w:t xml:space="preserve">”</w:t>
      </w:r>
      <w:r>
        <w:t xml:space="preserve"> </w:t>
      </w:r>
      <w:r>
        <w:t xml:space="preserve">(CD1),</w:t>
      </w:r>
      <w:r>
        <w:t xml:space="preserve"> </w:t>
      </w:r>
      <w:r>
        <w:t xml:space="preserve">“</w:t>
      </w:r>
      <w:r>
        <w:t xml:space="preserve">Recovered</w:t>
      </w:r>
      <w:r>
        <w:t xml:space="preserve">”</w:t>
      </w:r>
      <w:r>
        <w:t xml:space="preserve"> </w:t>
      </w:r>
      <w:r>
        <w:t xml:space="preserve">(CD2),</w:t>
      </w:r>
      <w:r>
        <w:t xml:space="preserve"> </w:t>
      </w:r>
      <w:r>
        <w:t xml:space="preserve">“</w:t>
      </w:r>
      <w:r>
        <w:t xml:space="preserve">COVID recovered</w:t>
      </w:r>
      <w:r>
        <w:t xml:space="preserve">”</w:t>
      </w:r>
      <w:r>
        <w:t xml:space="preserve"> </w:t>
      </w:r>
      <w:r>
        <w:t xml:space="preserve">(CVX1, CVX2)</w:t>
      </w:r>
    </w:p>
    <w:p>
      <w:pPr>
        <w:numPr>
          <w:ilvl w:val="0"/>
          <w:numId w:val="1004"/>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(CVX1) — vaccinated individuals with no history of COVID-19 infection</w:t>
      </w:r>
    </w:p>
    <w:p>
      <w:pPr>
        <w:numPr>
          <w:ilvl w:val="0"/>
          <w:numId w:val="1004"/>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(CD3, HC1) —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3"/>
    <w:bookmarkStart w:id="34" w:name="is-api-architecture-and-implementation"/>
    <w:p>
      <w:pPr>
        <w:pStyle w:val="Heading2"/>
      </w:pPr>
      <w:r>
        <w:t xml:space="preserve">IS-API Architecture and Implementation</w:t>
      </w:r>
    </w:p>
    <w:p>
      <w:pPr>
        <w:pStyle w:val="FirstParagraph"/>
      </w:pPr>
      <w:r>
        <w:t xml:space="preserve">IS-API is a RESTful API written in Node.js</w:t>
      </w:r>
      <w:r>
        <w:t xml:space="preserve"> </w:t>
      </w:r>
      <w:r>
        <w:t xml:space="preserve">[@Lambert2010]</w:t>
      </w:r>
      <w:r>
        <w:t xml:space="preserve"> </w:t>
      </w:r>
      <w:r>
        <w:t xml:space="preserve">using the Express framework. It connects to multiple independent ImmuneDB MySQL database instances and executes queries across all of them in a single API call. The API is publicly available at https://github.com/DrexelSystemsImmunologyLab/IS-API.</w:t>
      </w:r>
    </w:p>
    <w:p>
      <w:pPr>
        <w:pStyle w:val="BodyText"/>
      </w:pPr>
      <w:r>
        <w:t xml:space="preserve">All endpoints are designed as POST requests. The request body contains two objects in JSON format:</w:t>
      </w:r>
    </w:p>
    <w:p>
      <w:pPr>
        <w:numPr>
          <w:ilvl w:val="0"/>
          <w:numId w:val="1005"/>
        </w:numPr>
        <w:pStyle w:val="Compact"/>
      </w:pPr>
      <w:r>
        <w:rPr>
          <w:bCs/>
          <w:b/>
        </w:rPr>
        <w:t xml:space="preserve">repertoires</w:t>
      </w:r>
      <w:r>
        <w:t xml:space="preserve">: specifies the metadata filters (e.g., disease_stage, tissue, sex, age)</w:t>
      </w:r>
    </w:p>
    <w:p>
      <w:pPr>
        <w:numPr>
          <w:ilvl w:val="0"/>
          <w:numId w:val="1005"/>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6"/>
        </w:numPr>
        <w:pStyle w:val="Compact"/>
      </w:pPr>
      <w:r>
        <w:rPr>
          <w:bCs/>
          <w:b/>
        </w:rPr>
        <w:t xml:space="preserve">Info</w:t>
      </w:r>
      <w:r>
        <w:t xml:space="preserve">: project information (title, version, contacts)</w:t>
      </w:r>
    </w:p>
    <w:p>
      <w:pPr>
        <w:numPr>
          <w:ilvl w:val="0"/>
          <w:numId w:val="1006"/>
        </w:numPr>
        <w:pStyle w:val="Compact"/>
      </w:pPr>
      <w:r>
        <w:rPr>
          <w:bCs/>
          <w:b/>
        </w:rPr>
        <w:t xml:space="preserve">Result</w:t>
      </w:r>
      <w:r>
        <w:t xml:space="preserve">: an array of objects, each containing the matched repertoire metadata and the computed statistics</w:t>
      </w:r>
    </w:p>
    <w:p>
      <w:pPr>
        <w:pStyle w:val="FirstParagraph"/>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34"/>
    <w:bookmarkStart w:id="35" w:name="statistical-endpoints"/>
    <w:p>
      <w:pPr>
        <w:pStyle w:val="Heading2"/>
      </w:pPr>
      <w:r>
        <w:t xml:space="preserve">Statistical Endpoints</w:t>
      </w:r>
    </w:p>
    <w:p>
      <w:pPr>
        <w:pStyle w:val="FirstParagraph"/>
      </w:pPr>
      <w:r>
        <w:t xml:space="preserve">IS-API provides three endpoint controllers:</w:t>
      </w:r>
    </w:p>
    <w:p>
      <w:pPr>
        <w:pStyle w:val="BodyText"/>
      </w:pPr>
      <w:r>
        <w:rPr>
          <w:bCs/>
          <w:b/>
        </w:rPr>
        <w:t xml:space="preserve">Clone endpoints:</w:t>
      </w:r>
    </w:p>
    <w:p>
      <w:pPr>
        <w:numPr>
          <w:ilvl w:val="0"/>
          <w:numId w:val="1007"/>
        </w:numPr>
        <w:pStyle w:val="Compact"/>
      </w:pPr>
      <w:r>
        <w:rPr>
          <w:iCs/>
          <w:i/>
        </w:rPr>
        <w:t xml:space="preserve">clone_count</w:t>
      </w:r>
      <w:r>
        <w:t xml:space="preserve">: Number of distinct clones per individual (clones with 20 or more unique sequences)</w:t>
      </w:r>
    </w:p>
    <w:p>
      <w:pPr>
        <w:numPr>
          <w:ilvl w:val="0"/>
          <w:numId w:val="1007"/>
        </w:numPr>
        <w:pStyle w:val="Compact"/>
      </w:pPr>
      <w:r>
        <w:rPr>
          <w:iCs/>
          <w:i/>
        </w:rPr>
        <w:t xml:space="preserve">clone_size</w:t>
      </w:r>
      <w:r>
        <w:t xml:space="preserve">: Size of each clone, defined as the total number of unique sequences assigned to that clone</w:t>
      </w:r>
    </w:p>
    <w:p>
      <w:pPr>
        <w:numPr>
          <w:ilvl w:val="0"/>
          <w:numId w:val="1007"/>
        </w:numPr>
        <w:pStyle w:val="Compact"/>
      </w:pPr>
      <w:r>
        <w:rPr>
          <w:iCs/>
          <w:i/>
        </w:rPr>
        <w:t xml:space="preserve">topX_clone_size_copies</w:t>
      </w:r>
      <w:r>
        <w:t xml:space="preserve">: Cumulative sequence copies for the top 10, 100, and 1000 clones per individual</w:t>
      </w:r>
    </w:p>
    <w:p>
      <w:pPr>
        <w:pStyle w:val="FirstParagraph"/>
      </w:pPr>
      <w:r>
        <w:rPr>
          <w:bCs/>
          <w:b/>
        </w:rPr>
        <w:t xml:space="preserve">Mutation endpoints:</w:t>
      </w:r>
    </w:p>
    <w:p>
      <w:pPr>
        <w:numPr>
          <w:ilvl w:val="0"/>
          <w:numId w:val="1008"/>
        </w:numPr>
        <w:pStyle w:val="Compact"/>
      </w:pPr>
      <w:r>
        <w:rPr>
          <w:iCs/>
          <w:i/>
        </w:rPr>
        <w:t xml:space="preserve">mutations_rs_ratio</w:t>
      </w:r>
      <w:r>
        <w:t xml:space="preserve">: Non-synonymous (replacement) and synonymous (silent) mutation counts in CDR and framework (FW) regions per individual</w:t>
      </w:r>
    </w:p>
    <w:p>
      <w:pPr>
        <w:pStyle w:val="FirstParagraph"/>
      </w:pPr>
      <w:r>
        <w:rPr>
          <w:bCs/>
          <w:b/>
        </w:rPr>
        <w:t xml:space="preserve">CDR3 endpoints:</w:t>
      </w:r>
    </w:p>
    <w:p>
      <w:pPr>
        <w:numPr>
          <w:ilvl w:val="0"/>
          <w:numId w:val="1009"/>
        </w:numPr>
        <w:pStyle w:val="Compact"/>
      </w:pPr>
      <w:r>
        <w:rPr>
          <w:iCs/>
          <w:i/>
        </w:rPr>
        <w:t xml:space="preserve">cdr3_length_distribution</w:t>
      </w:r>
      <w:r>
        <w:t xml:space="preserve">: Mean and standard deviation of CDR3 length in both amino acids and nucleotides per individual</w:t>
      </w:r>
    </w:p>
    <w:p>
      <w:pPr>
        <w:pStyle w:val="FirstParagraph"/>
      </w:pPr>
      <w:r>
        <w:rPr>
          <w:bCs/>
          <w:b/>
        </w:rPr>
        <w:t xml:space="preserve">V gene usage endpoint:</w:t>
      </w:r>
    </w:p>
    <w:p>
      <w:pPr>
        <w:numPr>
          <w:ilvl w:val="0"/>
          <w:numId w:val="1010"/>
        </w:numPr>
        <w:pStyle w:val="Compact"/>
      </w:pPr>
      <w:r>
        <w:rPr>
          <w:iCs/>
          <w:i/>
        </w:rPr>
        <w:t xml:space="preserve">v_gene_usage</w:t>
      </w:r>
      <w:r>
        <w:t xml:space="preserve">: Clone count and total copies per V gene per individual</w:t>
      </w:r>
    </w:p>
    <w:bookmarkEnd w:id="35"/>
    <w:bookmarkStart w:id="36"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1"/>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w:t>
      </w:r>
      <w:r>
        <w:t xml:space="preserve"> </w:t>
      </w:r>
      <w:r>
        <w:t xml:space="preserve">[@Tuomisto2010; @Schwartz2013b]</w:t>
      </w:r>
      <w:r>
        <w:t xml:space="preserve">.</w:t>
      </w:r>
    </w:p>
    <w:p>
      <w:pPr>
        <w:numPr>
          <w:ilvl w:val="0"/>
          <w:numId w:val="1011"/>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1"/>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w:t>
      </w:r>
      <w:r>
        <w:t xml:space="preserve"> </w:t>
      </w:r>
      <w:r>
        <w:t xml:space="preserve">[@Hershberg2008]</w:t>
      </w:r>
      <w:r>
        <w:t xml:space="preserve">.</w:t>
      </w:r>
    </w:p>
    <w:p>
      <w:pPr>
        <w:numPr>
          <w:ilvl w:val="0"/>
          <w:numId w:val="1011"/>
        </w:numPr>
      </w:pPr>
      <w:r>
        <w:rPr>
          <w:bCs/>
          <w:b/>
        </w:rPr>
        <w:t xml:space="preserve">CDR3 length</w:t>
      </w:r>
      <w:r>
        <w:t xml:space="preserve">: Mean and standard deviation of CDR3 amino acid length across all clones per individual.</w:t>
      </w:r>
    </w:p>
    <w:p>
      <w:pPr>
        <w:numPr>
          <w:ilvl w:val="0"/>
          <w:numId w:val="1011"/>
        </w:numPr>
      </w:pPr>
      <w:r>
        <w:rPr>
          <w:bCs/>
          <w:b/>
        </w:rPr>
        <w:t xml:space="preserve">V gene usage</w:t>
      </w:r>
      <w:r>
        <w:t xml:space="preserve">: Frequency of each V gene across individuals, filtered to V genes present at 1% or higher frequency in at least 85% of individuals.</w:t>
      </w:r>
    </w:p>
    <w:bookmarkEnd w:id="36"/>
    <w:bookmarkStart w:id="37"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37"/>
    <w:bookmarkStart w:id="38" w:name="visualization"/>
    <w:p>
      <w:pPr>
        <w:pStyle w:val="Heading2"/>
      </w:pPr>
      <w:r>
        <w:t xml:space="preserve">Visualization</w:t>
      </w:r>
    </w:p>
    <w:p>
      <w:pPr>
        <w:pStyle w:val="FirstParagraph"/>
      </w:pPr>
      <w:r>
        <w:t xml:space="preserve">All figures were generated using Python with matplotlib and numpy.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38"/>
    <w:bookmarkEnd w:id="39"/>
    <w:bookmarkStart w:id="50" w:name="results"/>
    <w:p>
      <w:pPr>
        <w:pStyle w:val="Heading1"/>
      </w:pPr>
      <w:r>
        <w:t xml:space="preserve">Results</w:t>
      </w:r>
    </w:p>
    <w:bookmarkStart w:id="42" w:name="part-1-is-api-tool-capabilities-1"/>
    <w:p>
      <w:pPr>
        <w:pStyle w:val="Heading2"/>
      </w:pPr>
      <w:r>
        <w:t xml:space="preserve">Part 1: IS-API Tool Capabilities</w:t>
      </w:r>
    </w:p>
    <w:bookmarkStart w:id="40" w:name="X0dc5015c466ba5f8101d47296a0fe60ee5a0057"/>
    <w:p>
      <w:pPr>
        <w:pStyle w:val="Heading3"/>
      </w:pPr>
      <w:r>
        <w:t xml:space="preserve">Querying Repertoire Statistics Across Studies</w:t>
      </w:r>
    </w:p>
    <w:p>
      <w:pPr>
        <w:pStyle w:val="FirstParagraph"/>
      </w:pPr>
      <w:r>
        <w:t xml:space="preserve">One of the main strengths of IS-API is that it enables researchers to conduct a high-level investigation of available data and thereby refine their research questions — or at least become aware of potential pitfalls — before investing in detailed analysis. This investigation can be made through simple queries that execute within seconds.</w:t>
      </w:r>
    </w:p>
    <w:p>
      <w:pPr>
        <w:pStyle w:val="BodyText"/>
      </w:pPr>
      <w:r>
        <w:t xml:space="preserve">To demonstrate the range of IS-API’s capabilities, we queried the clone, mutation, and CDR3 endpoints across all six studies, filtering for blood-derived samples and grouping by disease stage. The following figures illustrate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 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bookmarkEnd w:id="40"/>
    <w:bookmarkStart w:id="41"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w:t>
      </w:r>
      <w:r>
        <w:t xml:space="preserve"> </w:t>
      </w:r>
      <w:r>
        <w:t xml:space="preserve">[@Meng2017; @Stern2014]</w:t>
      </w:r>
      <w:r>
        <w:t xml:space="preserve">.</w:t>
      </w:r>
    </w:p>
    <w:bookmarkEnd w:id="41"/>
    <w:bookmarkEnd w:id="42"/>
    <w:bookmarkStart w:id="49"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43"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bookmarkEnd w:id="43"/>
    <w:bookmarkStart w:id="44"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 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44"/>
    <w:bookmarkStart w:id="45"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45"/>
    <w:bookmarkStart w:id="46"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46"/>
    <w:bookmarkStart w:id="47"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 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w:t>
      </w:r>
      <w:r>
        <w:t xml:space="preserve"> </w:t>
      </w:r>
      <w:r>
        <w:t xml:space="preserve">[@Yang2021]</w:t>
      </w:r>
      <w:r>
        <w:t xml:space="preserve">.</w:t>
      </w:r>
    </w:p>
    <w:bookmarkEnd w:id="47"/>
    <w:bookmarkStart w:id="48"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48"/>
    <w:bookmarkEnd w:id="49"/>
    <w:bookmarkEnd w:id="50"/>
    <w:bookmarkStart w:id="55" w:name="discussion-and-conclusions"/>
    <w:p>
      <w:pPr>
        <w:pStyle w:val="Heading1"/>
      </w:pPr>
      <w:r>
        <w:t xml:space="preserve">Discussion and Conclusions</w:t>
      </w:r>
    </w:p>
    <w:bookmarkStart w:id="51"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w:t>
      </w:r>
      <w:r>
        <w:t xml:space="preserve"> </w:t>
      </w:r>
      <w:r>
        <w:t xml:space="preserve">[@Briney2019; @Soto2019]</w:t>
      </w:r>
      <w:r>
        <w:t xml:space="preserve">.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w:t>
      </w:r>
      <w:r>
        <w:t xml:space="preserve"> </w:t>
      </w:r>
      <w:r>
        <w:t xml:space="preserve">[@Corrie2018; @iReceptor]</w:t>
      </w:r>
      <w:r>
        <w:t xml:space="preserve"> </w:t>
      </w:r>
      <w:r>
        <w:t xml:space="preserve">provides federated access to AIRR-seq data but operates at the sequence level rather than the clone level, making it difficult to perform clonal analyses. The AIRR Data Commons API</w:t>
      </w:r>
      <w:r>
        <w:t xml:space="preserve"> </w:t>
      </w:r>
      <w:r>
        <w:t xml:space="preserve">[@Christley2020]</w:t>
      </w:r>
      <w:r>
        <w:t xml:space="preserve"> </w:t>
      </w:r>
      <w:r>
        <w:t xml:space="preserve">provides standardized access to repertoire metadata but does not compute statistical summaries. The Immcantation Framework</w:t>
      </w:r>
      <w:r>
        <w:t xml:space="preserve"> </w:t>
      </w:r>
      <w:r>
        <w:t xml:space="preserve">[@Gupta2015]</w:t>
      </w:r>
      <w:r>
        <w:t xml:space="preserve"> </w:t>
      </w:r>
      <w:r>
        <w:t xml:space="preserve">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51"/>
    <w:bookmarkStart w:id="52"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w:t>
      </w:r>
      <w:r>
        <w:t xml:space="preserve"> </w:t>
      </w:r>
      <w:r>
        <w:t xml:space="preserve">[@Hoehn2021; @Galson2020]</w:t>
      </w:r>
      <w:r>
        <w:t xml:space="preserve">.</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w:t>
      </w:r>
      <w:r>
        <w:t xml:space="preserve"> </w:t>
      </w:r>
      <w:r>
        <w:t xml:space="preserve">[@Kaneko2020]</w:t>
      </w:r>
      <w:r>
        <w:t xml:space="preserve">.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w:t>
      </w:r>
      <w:r>
        <w:t xml:space="preserve"> </w:t>
      </w:r>
      <w:r>
        <w:t xml:space="preserve">[@Saada2007]</w:t>
      </w:r>
      <w:r>
        <w:t xml:space="preserve">.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w:t>
      </w:r>
      <w:r>
        <w:t xml:space="preserve"> </w:t>
      </w:r>
      <w:r>
        <w:t xml:space="preserve">[@Yang2021; @Briney2019]</w:t>
      </w:r>
      <w:r>
        <w:t xml:space="preserve">. While specific antibody lineages targeting SARS-CoV-2 epitopes may preferentially use certain V genes</w:t>
      </w:r>
      <w:r>
        <w:t xml:space="preserve"> </w:t>
      </w:r>
      <w:r>
        <w:t xml:space="preserve">[@Robbiani2020]</w:t>
      </w:r>
      <w:r>
        <w:t xml:space="preserve">,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52"/>
    <w:bookmarkStart w:id="53"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53"/>
    <w:bookmarkStart w:id="54"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54"/>
    <w:bookmarkEnd w:id="55"/>
    <w:bookmarkStart w:id="56"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2026-08-29T02:41:36Z</dcterms:created>
  <dcterms:modified xsi:type="dcterms:W3CDTF">2026-08-29T02:41:36Z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