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sz w:val="36"/>
          <w:szCs w:val="36"/>
        </w:rPr>
        <w:t xml:space="preserve">Results</w:t>
      </w:r>
    </w:p>
    <w:p>
      <w:pPr>
        <w:pStyle w:val="Heading2"/>
        <w:spacing w:after="150" w:before="300"/>
      </w:pPr>
      <w:r>
        <w:rPr>
          <w:rFonts w:ascii="Times New Roman" w:cs="Times New Roman" w:eastAsia="Times New Roman" w:hAnsi="Times New Roman"/>
          <w:b/>
          <w:bCs/>
          <w:sz w:val="28"/>
          <w:szCs w:val="28"/>
        </w:rPr>
        <w:t xml:space="preserve">Metadata Overview</w:t>
      </w:r>
    </w:p>
    <w:p>
      <w:pPr>
        <w:pStyle w:val="Heading3"/>
        <w:spacing w:after="150" w:before="300"/>
      </w:pPr>
      <w:r>
        <w:rPr>
          <w:rFonts w:ascii="Times New Roman" w:cs="Times New Roman" w:eastAsia="Times New Roman" w:hAnsi="Times New Roman"/>
          <w:b/>
          <w:bCs/>
          <w:sz w:val="26"/>
          <w:szCs w:val="26"/>
        </w:rPr>
        <w:t xml:space="preserve">1. Dataset Discovery</w:t>
      </w:r>
    </w:p>
    <w:p>
      <w:pPr>
        <w:spacing w:after="120" w:line="360"/>
        <w:jc w:val="both"/>
      </w:pPr>
      <w:r>
        <w:rPr>
          <w:rFonts w:ascii="Times New Roman" w:cs="Times New Roman" w:eastAsia="Times New Roman" w:hAnsi="Times New Roman"/>
          <w:sz w:val="24"/>
          <w:szCs w:val="24"/>
        </w:rPr>
        <w:t xml:space="preserve">The Statistics API provides a discovery-driven interface for exploring immune repertoire data. As a first step, we queried the API to retrieve all available datasets in the system.</w:t>
      </w:r>
    </w:p>
    <w:p>
      <w:pPr>
        <w:spacing w:after="120" w:line="360"/>
        <w:jc w:val="both"/>
      </w:pPr>
      <w:r>
        <w:rPr>
          <w:rFonts w:ascii="Times New Roman" w:cs="Times New Roman" w:eastAsia="Times New Roman" w:hAnsi="Times New Roman"/>
          <w:sz w:val="24"/>
          <w:szCs w:val="24"/>
        </w:rPr>
        <w:t xml:space="preserve">The query returned 9 available datasets (Table 1), of which 2 are unpublished studies, therefore, we queried metadata across seven immune repertoire datasets stored in an immunedb database system.</w:t>
      </w:r>
    </w:p>
    <w:p>
      <w:pPr>
        <w:spacing w:after="80" w:before="200"/>
      </w:pPr>
      <w:r>
        <w:rPr>
          <w:rFonts w:ascii="Times New Roman" w:cs="Times New Roman" w:eastAsia="Times New Roman" w:hAnsi="Times New Roman"/>
          <w:b/>
          <w:bCs/>
          <w:sz w:val="22"/>
          <w:szCs w:val="22"/>
        </w:rPr>
        <w:t xml:space="preserve">Table 1. Datasets available in the iReceptor Statistics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Dataset</w:t>
            </w:r>
          </w:p>
        </w:tc>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Computer Name</w:t>
            </w:r>
          </w:p>
        </w:tc>
        <w:tc>
          <w:tcPr>
            <w:tcW w:type="dxa" w:w="3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Study Title</w:t>
            </w:r>
          </w:p>
        </w:tc>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Relevant Publication</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CD1</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Covid19_db3</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patterns in COVID-19</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PMID: 37153628</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CD2</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covid19-db2</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Convergent BCR signatures</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PMID: 33384691</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CD3</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Covid19</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Immune perturbations in severe COVID-19</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PMID: 32669287</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CVX1</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covid_vaccine2</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Durable vaccine immune memory</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PMID: 34648302</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CVX2</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covid_vaccine_new</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Vaccine BCR in naive/recovered</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PMID: 33858945</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HC1</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lp16_Igblast</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Clonal tissue atlas</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PMID: 28829438</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GT1</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sykesIgblast2020</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Gut transplant in children</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PMID: 38014202</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SD1</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Sjogren's disease</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unpublished</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unpublished</w:t>
            </w:r>
          </w:p>
        </w:tc>
      </w:tr>
      <w:tr>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FL1</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flu</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unpublished</w:t>
            </w:r>
          </w:p>
        </w:tc>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unpublished</w:t>
            </w:r>
          </w:p>
        </w:tc>
      </w:tr>
    </w:tbl>
    <w:p>
      <w:pPr>
        <w:spacing w:after="120" w:line="360"/>
        <w:jc w:val="both"/>
      </w:pPr>
      <w:r>
        <w:rPr>
          <w:rFonts w:ascii="Times New Roman" w:cs="Times New Roman" w:eastAsia="Times New Roman" w:hAnsi="Times New Roman"/>
          <w:sz w:val="24"/>
          <w:szCs w:val="24"/>
        </w:rPr>
        <w:t xml:space="preserve">CD = COVID disease, CVX = COVID vaccine, HC = healthy cohort, GT = gut transplant</w:t>
      </w:r>
    </w:p>
    <w:p>
      <w:pPr>
        <w:pStyle w:val="Heading2"/>
        <w:spacing w:after="150" w:before="300"/>
      </w:pPr>
      <w:r>
        <w:rPr>
          <w:rFonts w:ascii="Times New Roman" w:cs="Times New Roman" w:eastAsia="Times New Roman" w:hAnsi="Times New Roman"/>
          <w:b/>
          <w:bCs/>
          <w:sz w:val="28"/>
          <w:szCs w:val="28"/>
        </w:rPr>
        <w:t xml:space="preserve">2. Metadata Exploration</w:t>
      </w:r>
    </w:p>
    <w:p>
      <w:pPr>
        <w:spacing w:after="120" w:line="360"/>
        <w:jc w:val="both"/>
      </w:pPr>
      <w:r>
        <w:rPr>
          <w:rFonts w:ascii="Times New Roman" w:cs="Times New Roman" w:eastAsia="Times New Roman" w:hAnsi="Times New Roman"/>
          <w:sz w:val="24"/>
          <w:szCs w:val="24"/>
        </w:rPr>
        <w:t xml:space="preserve">Before performing statistical analyses, we explored the metadata structure of the selected datasets using the API's metadata discovery endpoints. The /meta/categories/ endpoint returned the broad categories of metadata available, and /meta/categories/:type returned the specific fields and values within each category.</w:t>
      </w:r>
    </w:p>
    <w:p>
      <w:pPr>
        <w:pStyle w:val="Heading3"/>
        <w:spacing w:after="150" w:before="300"/>
      </w:pPr>
      <w:r>
        <w:rPr>
          <w:rFonts w:ascii="Times New Roman" w:cs="Times New Roman" w:eastAsia="Times New Roman" w:hAnsi="Times New Roman"/>
          <w:b/>
          <w:bCs/>
          <w:sz w:val="26"/>
          <w:szCs w:val="26"/>
        </w:rPr>
        <w:t xml:space="preserve">2.1 Available Metadata Categories</w:t>
      </w:r>
    </w:p>
    <w:p>
      <w:pPr>
        <w:spacing w:after="120" w:line="360"/>
        <w:jc w:val="both"/>
      </w:pPr>
      <w:r>
        <w:rPr>
          <w:rFonts w:ascii="Times New Roman" w:cs="Times New Roman" w:eastAsia="Times New Roman" w:hAnsi="Times New Roman"/>
          <w:sz w:val="24"/>
          <w:szCs w:val="24"/>
        </w:rPr>
        <w:t xml:space="preserve">The API exposed 5 metadata categories: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w:t>
            </w:r>
          </w:p>
        </w:tc>
        <w:tc>
          <w:tcPr>
            <w:tcW w:type="dxa" w:w="3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Category</w:t>
            </w:r>
          </w:p>
        </w:tc>
        <w:tc>
          <w:tcPr>
            <w:tcW w:type="dxa" w:w="5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Values</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Study</w:t>
            </w:r>
          </w:p>
        </w:tc>
        <w:tc>
          <w:tcPr>
            <w:tcW w:type="dxa" w:w="5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Study-level information (title, publications, lab)</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Subject</w:t>
            </w:r>
          </w:p>
        </w:tc>
        <w:tc>
          <w:tcPr>
            <w:tcW w:type="dxa" w:w="5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Subject demographics (age, sex, ID)</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Diagnosis and Intervention</w:t>
            </w:r>
          </w:p>
        </w:tc>
        <w:tc>
          <w:tcPr>
            <w:tcW w:type="dxa" w:w="5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Disease stage, diagnosis, treatments</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Sample</w:t>
            </w:r>
          </w:p>
        </w:tc>
        <w:tc>
          <w:tcPr>
            <w:tcW w:type="dxa" w:w="5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Sample collection details</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Process</w:t>
            </w:r>
          </w:p>
        </w:tc>
        <w:tc>
          <w:tcPr>
            <w:tcW w:type="dxa" w:w="5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Sequencing and processing parameters</w:t>
            </w:r>
          </w:p>
        </w:tc>
      </w:tr>
    </w:tbl>
    <w:p>
      <w:pPr>
        <w:pStyle w:val="Heading2"/>
        <w:spacing w:after="150" w:before="300"/>
      </w:pPr>
      <w:r>
        <w:rPr>
          <w:rFonts w:ascii="Times New Roman" w:cs="Times New Roman" w:eastAsia="Times New Roman" w:hAnsi="Times New Roman"/>
          <w:b/>
          <w:bCs/>
          <w:sz w:val="28"/>
          <w:szCs w:val="28"/>
        </w:rPr>
        <w:t xml:space="preserve">3. Cohort Characterization</w:t>
      </w:r>
    </w:p>
    <w:p>
      <w:pPr>
        <w:spacing w:after="120" w:line="360"/>
        <w:jc w:val="both"/>
      </w:pPr>
      <w:r>
        <w:rPr>
          <w:rFonts w:ascii="Times New Roman" w:cs="Times New Roman" w:eastAsia="Times New Roman" w:hAnsi="Times New Roman"/>
          <w:sz w:val="24"/>
          <w:szCs w:val="24"/>
        </w:rPr>
        <w:t xml:space="preserve">To characterize the scope and composition of all datasets we queried using single command with the IS-API, total of 121 subject records were retrieved from seven independent datasets: CD1 (n=51), CD2 (n=19), GT1 (n=15), CD3 (n=13), CVX1 (n=12), HC1 (n=6), and CVX2 (n=5) (Figure 1).</w:t>
      </w:r>
    </w:p>
    <w:p>
      <w:pPr>
        <w:spacing w:after="60" w:before="1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38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1. Distribution of participants across datasets. Bar chart showing the number of participants contributed by each of the seven studies included in the analysis.</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2. Metadata Availability</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To assess the scope of available annotations, we examined five metadata fields across all datasets: Tissue, Sex, Disease Stage, Cell Subset, and Age (Figure 2). Tissue and Disease Stage were the most consistently reported fields. Cell Subset was the sparsest, reported for only 21 of 121 subjects across only three datasets.</w:t>
      </w:r>
    </w:p>
    <w:p>
      <w:pPr>
        <w:spacing w:after="60" w:before="1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2. Metadata availability across datasets. Grouped bar chart illustrating the count of subjects with available records for five specific metadata categories — Tissue, Disease Stage, Sex, Cell Subset, and Age — distributed among the seven studies.</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3. Selection of Key Clinical Variables</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Among the available metadata fields, three were identified as most suitable for cross-study clinical comparison: Disease Stage, Age, and Sex. These fields offer the best combination of coverage and clinical relevance:</w:t>
      </w:r>
    </w:p>
    <w:p>
      <w:pPr>
        <w:spacing w:after="120" w:line="360"/>
        <w:jc w:val="both"/>
      </w:pPr>
      <w:r>
        <w:rPr>
          <w:rFonts w:ascii="Times New Roman" w:cs="Times New Roman" w:eastAsia="Times New Roman" w:hAnsi="Times New Roman"/>
          <w:sz w:val="24"/>
          <w:szCs w:val="24"/>
        </w:rPr>
        <w:t xml:space="preserve">Disease Stage was reported for all subjects in 6 of 7 datasets (only GT1 lacked this field entirely). This field enables stratification of subjects across a clinical severity spectrum.</w:t>
      </w:r>
    </w:p>
    <w:p>
      <w:pPr>
        <w:spacing w:after="120" w:line="360"/>
        <w:jc w:val="both"/>
      </w:pPr>
      <w:r>
        <w:rPr>
          <w:rFonts w:ascii="Times New Roman" w:cs="Times New Roman" w:eastAsia="Times New Roman" w:hAnsi="Times New Roman"/>
          <w:sz w:val="24"/>
          <w:szCs w:val="24"/>
        </w:rPr>
        <w:t xml:space="preserve">Age was reported for 115 of 121 subjects (95%). Missing values were concentrated among specific subjects: H3, H4, H8 in CD3 (healthy controls); Cov7 and Cov1 in CD1.</w:t>
      </w:r>
    </w:p>
    <w:p>
      <w:pPr>
        <w:spacing w:after="120" w:line="360"/>
        <w:jc w:val="both"/>
      </w:pPr>
      <w:r>
        <w:rPr>
          <w:rFonts w:ascii="Times New Roman" w:cs="Times New Roman" w:eastAsia="Times New Roman" w:hAnsi="Times New Roman"/>
          <w:sz w:val="24"/>
          <w:szCs w:val="24"/>
        </w:rPr>
        <w:t xml:space="preserve">Sex was reported for 107 of 121 subjects (88.4%). The entire covid19 dataset (13 subjects) lacked sex information.</w:t>
      </w:r>
    </w:p>
    <w:p>
      <w:pPr>
        <w:spacing w:after="120" w:line="360"/>
        <w:jc w:val="both"/>
      </w:pPr>
      <w:r>
        <w:rPr>
          <w:rFonts w:ascii="Times New Roman" w:cs="Times New Roman" w:eastAsia="Times New Roman" w:hAnsi="Times New Roman"/>
          <w:sz w:val="24"/>
          <w:szCs w:val="24"/>
        </w:rPr>
        <w:t xml:space="preserve">Cell Subset and Tissue were excluded as stratification variables. Cell Subset was too sparse for meaningful cross-study comparison. Tissue was nearly uniform across COVID datasets (blood/peripheral blood), providing no discriminatory power.</w:t>
      </w:r>
    </w:p>
    <w:p>
      <w:pPr>
        <w:spacing w:after="120" w:line="360"/>
        <w:jc w:val="both"/>
      </w:pPr>
      <w:r>
        <w:rPr>
          <w:rFonts w:ascii="Times New Roman" w:cs="Times New Roman" w:eastAsia="Times New Roman" w:hAnsi="Times New Roman"/>
          <w:sz w:val="24"/>
          <w:szCs w:val="24"/>
        </w:rPr>
        <w:t xml:space="preserve">Finally, we selected the COVID-19 datasets as a use case because repertoire studies in infectious disease are a key application of AIRR-seq, and COVID-19 provides a well-characterized clinical spectrum (naive, mild, severe, recovered) that allows us to demonstrate the analytical capabilities of the platform across biologically meaningful comparisons.</w:t>
      </w:r>
    </w:p>
    <w:p>
      <w:pPr>
        <w:spacing w:after="120" w:line="360"/>
        <w:jc w:val="both"/>
      </w:pPr>
      <w:r>
        <w:rPr>
          <w:rFonts w:ascii="Times New Roman" w:cs="Times New Roman" w:eastAsia="Times New Roman" w:hAnsi="Times New Roman"/>
          <w:sz w:val="24"/>
          <w:szCs w:val="24"/>
        </w:rPr>
        <w:t xml:space="preserve">Prior to grouping, we examined the original disease stage annotations as reported across the five datasets (Figure 3). A total of 13 distinct disease stage labels were identified, reflecting the heterogeneous nomenclature used across independent studies. The most frequent labels were "mild" (n=39) and "severe" (n=20), both originating predominantly from the CD1 and CD3 datasets. The CD2 dataset contributed more granular clinical descriptions, including "Early phase-Stable" (n=8), "Early phase hypoxaemia" (n=7), "Early phase-Improving" (n=1), "Recovering post-ICU" (n=1), "Recovering post-ICU -Improving" (n=1), and "Recovering without ICU-Improving" (n=1). The vaccine-related datasets used distinct terminology: "COVID Naive" (n=8) and "COVID recovered" (n=4) from CVX1, and "Recovered" (n=5) from CVX2. The CD3 dataset also included "non-severe" (n=2) and "healthy" (n=3) labels.</w:t>
      </w:r>
    </w:p>
    <w:p>
      <w:pPr>
        <w:spacing w:after="60" w:before="1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3. Distribution of original disease stage annotations. Bar chart illustrating the frequency of the 13 distinct clinical labels identified across six studies. The GT1 dataset is omitted due to a lack of available annotations. This disparate nomenclature highlights the necessity of metadata standardization for robust meta-analytical comparisons.</w:t>
      </w:r>
    </w:p>
    <w:p>
      <w:pPr>
        <w:spacing w:after="120" w:line="360"/>
        <w:jc w:val="both"/>
      </w:pPr>
      <w:r>
        <w:rPr>
          <w:rFonts w:ascii="Times New Roman" w:cs="Times New Roman" w:eastAsia="Times New Roman" w:hAnsi="Times New Roman"/>
          <w:sz w:val="24"/>
          <w:szCs w:val="24"/>
        </w:rPr>
        <w:t xml:space="preserve">This variability in disease stage annotation across studies illustrates one of the key challenges in cross-experiment meta-analysis of AIRR-seq data and highlights the need for standardized metadata leading to a strong need and a core motivation for the IS-API tool. To enable meaningful comparisons, these 13 labels were grouped into six disease categories as described below.</w:t>
      </w:r>
    </w:p>
    <w:p>
      <w:pPr>
        <w:spacing w:after="120" w:line="360"/>
        <w:jc w:val="both"/>
      </w:pPr>
      <w:r>
        <w:rPr>
          <w:rFonts w:ascii="Times New Roman" w:cs="Times New Roman" w:eastAsia="Times New Roman" w:hAnsi="Times New Roman"/>
          <w:sz w:val="24"/>
          <w:szCs w:val="24"/>
        </w:rPr>
        <w:t xml:space="preserve">The "mild" (n=39) and "non-severe" (n=2) labels were merged into a single </w:t>
      </w:r>
      <w:r>
        <w:rPr>
          <w:rFonts w:ascii="Times New Roman" w:cs="Times New Roman" w:eastAsia="Times New Roman" w:hAnsi="Times New Roman"/>
          <w:b/>
          <w:bCs/>
          <w:sz w:val="24"/>
          <w:szCs w:val="24"/>
        </w:rPr>
        <w:t xml:space="preserve">Mild</w:t>
      </w:r>
      <w:r>
        <w:rPr>
          <w:rFonts w:ascii="Times New Roman" w:cs="Times New Roman" w:eastAsia="Times New Roman" w:hAnsi="Times New Roman"/>
          <w:sz w:val="24"/>
          <w:szCs w:val="24"/>
        </w:rPr>
        <w:t xml:space="preserve"> category (n=41), as both describe participants with non-life-threatening COVID-19 symptoms. The </w:t>
      </w:r>
      <w:r>
        <w:rPr>
          <w:rFonts w:ascii="Times New Roman" w:cs="Times New Roman" w:eastAsia="Times New Roman" w:hAnsi="Times New Roman"/>
          <w:b/>
          <w:bCs/>
          <w:sz w:val="24"/>
          <w:szCs w:val="24"/>
        </w:rPr>
        <w:t xml:space="preserve">Severe</w:t>
      </w:r>
      <w:r>
        <w:rPr>
          <w:rFonts w:ascii="Times New Roman" w:cs="Times New Roman" w:eastAsia="Times New Roman" w:hAnsi="Times New Roman"/>
          <w:sz w:val="24"/>
          <w:szCs w:val="24"/>
        </w:rPr>
        <w:t xml:space="preserve"> category (n=27) combines "severe" (n=20) with "Early phase hypoxaemia" (n=7), as hypoxaemia indicates significant respiratory compromise consistent with severe disease presentation. The </w:t>
      </w:r>
      <w:r>
        <w:rPr>
          <w:rFonts w:ascii="Times New Roman" w:cs="Times New Roman" w:eastAsia="Times New Roman" w:hAnsi="Times New Roman"/>
          <w:b/>
          <w:bCs/>
          <w:sz w:val="24"/>
          <w:szCs w:val="24"/>
        </w:rPr>
        <w:t xml:space="preserve">Moderate</w:t>
      </w:r>
      <w:r>
        <w:rPr>
          <w:rFonts w:ascii="Times New Roman" w:cs="Times New Roman" w:eastAsia="Times New Roman" w:hAnsi="Times New Roman"/>
          <w:sz w:val="24"/>
          <w:szCs w:val="24"/>
        </w:rPr>
        <w:t xml:space="preserve"> category (n=9) groups "Early phase-Stable" (n=8) and "Early phase-Improving" (n=1), representing participants in the early phase of disease who did not develop hypoxaemia or require intensive care. The </w:t>
      </w:r>
      <w:r>
        <w:rPr>
          <w:rFonts w:ascii="Times New Roman" w:cs="Times New Roman" w:eastAsia="Times New Roman" w:hAnsi="Times New Roman"/>
          <w:b/>
          <w:bCs/>
          <w:sz w:val="24"/>
          <w:szCs w:val="24"/>
        </w:rPr>
        <w:t xml:space="preserve">Recovered</w:t>
      </w:r>
      <w:r>
        <w:rPr>
          <w:rFonts w:ascii="Times New Roman" w:cs="Times New Roman" w:eastAsia="Times New Roman" w:hAnsi="Times New Roman"/>
          <w:sz w:val="24"/>
          <w:szCs w:val="24"/>
        </w:rPr>
        <w:t xml:space="preserve"> category (n=12) merges five labels that all describe post-infection status: "Recovered" (n=5), "COVID recovered" (n=4), "Recovering post-ICU" (n=1), "Recovering post-ICU -Improving" (n=1), and "Recovering without ICU-Improving" (n=1). The </w:t>
      </w:r>
      <w:r>
        <w:rPr>
          <w:rFonts w:ascii="Times New Roman" w:cs="Times New Roman" w:eastAsia="Times New Roman" w:hAnsi="Times New Roman"/>
          <w:b/>
          <w:bCs/>
          <w:sz w:val="24"/>
          <w:szCs w:val="24"/>
        </w:rPr>
        <w:t xml:space="preserve">COVID Naive</w:t>
      </w:r>
      <w:r>
        <w:rPr>
          <w:rFonts w:ascii="Times New Roman" w:cs="Times New Roman" w:eastAsia="Times New Roman" w:hAnsi="Times New Roman"/>
          <w:sz w:val="24"/>
          <w:szCs w:val="24"/>
        </w:rPr>
        <w:t xml:space="preserve"> (n=8) label was retained as reported. The </w:t>
      </w:r>
      <w:r>
        <w:rPr>
          <w:rFonts w:ascii="Times New Roman" w:cs="Times New Roman" w:eastAsia="Times New Roman" w:hAnsi="Times New Roman"/>
          <w:b/>
          <w:bCs/>
          <w:sz w:val="24"/>
          <w:szCs w:val="24"/>
        </w:rPr>
        <w:t xml:space="preserve">Healthy</w:t>
      </w:r>
      <w:r>
        <w:rPr>
          <w:rFonts w:ascii="Times New Roman" w:cs="Times New Roman" w:eastAsia="Times New Roman" w:hAnsi="Times New Roman"/>
          <w:sz w:val="24"/>
          <w:szCs w:val="24"/>
        </w:rPr>
        <w:t xml:space="preserve"> group required special handling: the CD3 dataset contained three subjects labeled "healthy" (H3, H4, H8); however, these individuals were recruited within the context of a COVID-19 study and may have been exposed to the virus, introducing potential confounding. We therefore excluded these three subjects and instead used the dedicated healthy cohort from the HC1 dataset (lp16_Igblast), which comprises six pre-pandemic healthy donors with no known COVID-19 exposure, providing a cleaner baseline for comparison. This consolidation reduces label fragmentation while preserving clinically meaningful distinctions between disease severity levels.</w:t>
      </w:r>
    </w:p>
    <w:p>
      <w:pPr>
        <w:spacing w:after="120" w:line="360"/>
        <w:jc w:val="both"/>
      </w:pPr>
      <w:r>
        <w:rPr>
          <w:rFonts w:ascii="Times New Roman" w:cs="Times New Roman" w:eastAsia="Times New Roman" w:hAnsi="Times New Roman"/>
          <w:sz w:val="24"/>
          <w:szCs w:val="24"/>
        </w:rPr>
        <w:t xml:space="preserve">The Mild and Severe categories constitute the largest groups, together representing 66% of the cohort, providing sufficient statistical power for comparisons between these two disease states. The Moderate category (n=9) comprises participants from the CD2 dataset whose disease stage was described as "Early phase-Stable" or "Early phase-Improving," representing an intermediate clinical presentation. The Recovered group includes individuals who had recovered from COVID-19 infection prior to sample collection, while the COVID Naive group consists of individuals with no prior SARS-CoV-2 infection, both drawn from vaccine-related studies.</w:t>
      </w:r>
    </w:p>
    <w:p>
      <w:pPr>
        <w:spacing w:after="60" w:before="10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3a. Distribution of participants by disease category. Participants were classified into six disease categories based on their reported disease stage. Mild (n=41) and Severe (n=27) represent the two largest groups, followed by Recovered (n=12), Moderate (n=9), COVID Naive (n=8), and Healthy (n=6).</w:t>
      </w:r>
    </w:p>
    <w:p>
      <w:pPr>
        <w:spacing w:after="60" w:before="10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4. Participant demographics by clinical group. Visualization of the age and biological sex across the standardized clinical classifications, with points representing individual participants and colors indicating their source study. Point shape distinguishes reported sex (circle for male, triangle for female, and cross for unrecorded). The Severe cohort displays advanced age (median 61 years) and male predominance, whereas lower ages characterize the Naive and Recovered categories. Annotations were available for 101/103 (age) and 92/103 (sex) subjects.</w:t>
      </w:r>
    </w:p>
    <w:p>
      <w:pPr>
        <w:spacing w:after="120" w:line="360"/>
        <w:jc w:val="both"/>
      </w:pPr>
      <w:r>
        <w:rPr>
          <w:rFonts w:ascii="Times New Roman" w:cs="Times New Roman" w:eastAsia="Times New Roman" w:hAnsi="Times New Roman"/>
          <w:sz w:val="24"/>
          <w:szCs w:val="24"/>
        </w:rPr>
        <w:t xml:space="preserve">Taken together, this metadata overview demonstrates both the strengths and limitations of the assembled dataset. The expanded cohort of 103 participants across six datasets represents a substantial resource for comparisons between Mild and Severe disease. However, the uneven distribution of metadata across datasets, particularly the absence of sex data in the CD3 cohort and the limited size of the Healthy control group (n=6 from HC1), must be considered when interpreting subsequent biological analyses. Participants with missing metadata for the variable of interest were excluded from the respective downstream analyses.</w:t>
      </w:r>
    </w:p>
    <w:p>
      <w:r>
        <w:br w:type="page"/>
      </w:r>
    </w:p>
    <w:p>
      <w:pPr>
        <w:pStyle w:val="Heading2"/>
        <w:spacing w:after="150" w:before="300"/>
      </w:pPr>
      <w:r>
        <w:rPr>
          <w:rFonts w:ascii="Times New Roman" w:cs="Times New Roman" w:eastAsia="Times New Roman" w:hAnsi="Times New Roman"/>
          <w:b/>
          <w:bCs/>
          <w:sz w:val="28"/>
          <w:szCs w:val="28"/>
        </w:rPr>
        <w:t xml:space="preserve">Statistical Endpoints</w:t>
      </w:r>
    </w:p>
    <w:p>
      <w:pPr>
        <w:spacing w:after="120" w:line="360"/>
        <w:jc w:val="both"/>
      </w:pPr>
      <w:r>
        <w:rPr>
          <w:rFonts w:ascii="Times New Roman" w:cs="Times New Roman" w:eastAsia="Times New Roman" w:hAnsi="Times New Roman"/>
          <w:sz w:val="24"/>
          <w:szCs w:val="24"/>
        </w:rPr>
        <w:t xml:space="preserve">Having characterized the cohort, we next queried the API to discover what statistical analyses are available. The /clone endpoint returned the following: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w:t>
            </w:r>
          </w:p>
        </w:tc>
        <w:tc>
          <w:tcPr>
            <w:tcW w:type="dxa" w:w="20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Endpoint</w:t>
            </w:r>
          </w:p>
        </w:tc>
        <w:tc>
          <w:tcPr>
            <w:tcW w:type="dxa" w:w="3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Description</w:t>
            </w:r>
          </w:p>
        </w:tc>
        <w:tc>
          <w:tcPr>
            <w:tcW w:type="dxa" w:w="3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Metric</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w:t>
            </w:r>
          </w:p>
        </w:tc>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metaData</w:t>
            </w:r>
          </w:p>
        </w:tc>
        <w:tc>
          <w:tcPr>
            <w:tcW w:type="dxa" w:w="3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Subject metadata (age, sex, disease stage)</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Counts and distributions</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w:t>
            </w:r>
          </w:p>
        </w:tc>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clone_count</w:t>
            </w:r>
          </w:p>
        </w:tc>
        <w:tc>
          <w:tcPr>
            <w:tcW w:type="dxa" w:w="3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Number of unique clones per repertoire</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Clonal diversity</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w:t>
            </w:r>
          </w:p>
        </w:tc>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CDR3_length</w:t>
            </w:r>
          </w:p>
        </w:tc>
        <w:tc>
          <w:tcPr>
            <w:tcW w:type="dxa" w:w="3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Average CDR3 amino acid length of top clones</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Structural features</w:t>
            </w:r>
          </w:p>
        </w:tc>
      </w:tr>
      <w:tr>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w:t>
            </w:r>
          </w:p>
        </w:tc>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mutation</w:t>
            </w:r>
          </w:p>
        </w:tc>
        <w:tc>
          <w:tcPr>
            <w:tcW w:type="dxa" w:w="3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Somatic hypermutation statistics</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Mutation levels</w:t>
            </w:r>
          </w:p>
        </w:tc>
      </w:tr>
    </w:tbl>
    <w:p>
      <w:pPr>
        <w:spacing w:after="120" w:line="360"/>
        <w:jc w:val="both"/>
      </w:pPr>
      <w:r>
        <w:rPr>
          <w:rFonts w:ascii="Times New Roman" w:cs="Times New Roman" w:eastAsia="Times New Roman" w:hAnsi="Times New Roman"/>
          <w:sz w:val="24"/>
          <w:szCs w:val="24"/>
        </w:rPr>
        <w:t xml:space="preserve">The following sections present results from each statistical endpoint, organized by biological theme.</w:t>
      </w:r>
    </w:p>
    <w:p>
      <w:pPr>
        <w:spacing w:after="120" w:line="360"/>
        <w:jc w:val="both"/>
      </w:pPr>
      <w:r>
        <w:rPr>
          <w:rFonts w:ascii="Times New Roman" w:cs="Times New Roman" w:eastAsia="Times New Roman" w:hAnsi="Times New Roman"/>
          <w:sz w:val="24"/>
          <w:szCs w:val="24"/>
        </w:rPr>
        <w:t xml:space="preserve">Clonal analysis was performed on immune repertoire data from </w:t>
      </w:r>
      <w:r>
        <w:rPr>
          <w:rFonts w:ascii="Times New Roman" w:cs="Times New Roman" w:eastAsia="Times New Roman" w:hAnsi="Times New Roman"/>
          <w:b/>
          <w:bCs/>
          <w:sz w:val="24"/>
          <w:szCs w:val="24"/>
        </w:rPr>
        <w:t xml:space="preserve">103 subjects</w:t>
      </w:r>
      <w:r>
        <w:rPr>
          <w:rFonts w:ascii="Times New Roman" w:cs="Times New Roman" w:eastAsia="Times New Roman" w:hAnsi="Times New Roman"/>
          <w:sz w:val="24"/>
          <w:szCs w:val="24"/>
        </w:rPr>
        <w:t xml:space="preserve"> across 7 studies (CD1, CD2, CD3, CVX1, CVX2, HC1, GT1), using peripheral blood samples only. Subjects were categorized into six disease groups: Severe (n=27), Mild (n=41), Moderate (n=9), Recovered (n=12), COVID Naive (n=8), and Healthy (n=6). Disease labels from individual studies were harmonized into these categories. Statistics were computed using the iReceptor Statistics API (v0.3.0) with a metadata fingerprint grouping approach that correctly aggregates per-tissue data across samples. All boxplots display the median (horizontal line), interquartile range (box), and mean ± standard deviation (red diamond with error bars).</w:t>
      </w:r>
    </w:p>
    <w:p>
      <w:r>
        <w:br w:type="page"/>
      </w:r>
    </w:p>
    <w:p>
      <w:pPr>
        <w:pStyle w:val="Heading2"/>
        <w:spacing w:after="150" w:before="300"/>
      </w:pPr>
      <w:r>
        <w:rPr>
          <w:rFonts w:ascii="Times New Roman" w:cs="Times New Roman" w:eastAsia="Times New Roman" w:hAnsi="Times New Roman"/>
          <w:b/>
          <w:bCs/>
          <w:sz w:val="28"/>
          <w:szCs w:val="28"/>
        </w:rPr>
        <w:t xml:space="preserve">1. Clone Size Analysis</w:t>
      </w:r>
    </w:p>
    <w:p>
      <w:pPr>
        <w:spacing w:after="120" w:line="360"/>
        <w:jc w:val="both"/>
      </w:pPr>
      <w:r>
        <w:rPr>
          <w:rFonts w:ascii="Times New Roman" w:cs="Times New Roman" w:eastAsia="Times New Roman" w:hAnsi="Times New Roman"/>
          <w:sz w:val="24"/>
          <w:szCs w:val="24"/>
        </w:rPr>
        <w:t xml:space="preserve">Clone size, defined as the number of sequence copies per clone, reflects the degree of clonal expansion in each subject's repertoire. Clone size analysis was performed on </w:t>
      </w:r>
      <w:r>
        <w:rPr>
          <w:rFonts w:ascii="Times New Roman" w:cs="Times New Roman" w:eastAsia="Times New Roman" w:hAnsi="Times New Roman"/>
          <w:b/>
          <w:bCs/>
          <w:sz w:val="24"/>
          <w:szCs w:val="24"/>
        </w:rPr>
        <w:t xml:space="preserve">96 of 103 subjects</w:t>
      </w:r>
      <w:r>
        <w:rPr>
          <w:rFonts w:ascii="Times New Roman" w:cs="Times New Roman" w:eastAsia="Times New Roman" w:hAnsi="Times New Roman"/>
          <w:sz w:val="24"/>
          <w:szCs w:val="24"/>
        </w:rPr>
        <w:t xml:space="preserve"> (seven CD1 Severe subjects—Cov14, Cov39, Cov45, Cov49, Cov60, Cov66, and Cov70—were not returned by the API for the clone_size endpoint). All clones in this dataset have a minimum size of 21 copies. We defined "highly expanded" clones as those with more than 100 copies and analyzed both the number of expanded clones and the median clone size per subject.</w:t>
      </w:r>
    </w:p>
    <w:p>
      <w:pPr>
        <w:pStyle w:val="Heading3"/>
        <w:spacing w:after="150" w:before="300"/>
      </w:pPr>
      <w:r>
        <w:rPr>
          <w:rFonts w:ascii="Times New Roman" w:cs="Times New Roman" w:eastAsia="Times New Roman" w:hAnsi="Times New Roman"/>
          <w:b/>
          <w:bCs/>
          <w:sz w:val="26"/>
          <w:szCs w:val="26"/>
        </w:rPr>
        <w:t xml:space="preserve">1.1 Number of Expanded Clones by Disease Category</w:t>
      </w:r>
    </w:p>
    <w:p>
      <w:pPr>
        <w:spacing w:after="120" w:line="360"/>
        <w:jc w:val="both"/>
      </w:pPr>
      <w:r>
        <w:rPr>
          <w:rFonts w:ascii="Times New Roman" w:cs="Times New Roman" w:eastAsia="Times New Roman" w:hAnsi="Times New Roman"/>
          <w:sz w:val="24"/>
          <w:szCs w:val="24"/>
        </w:rPr>
        <w:t xml:space="preserve">Figure 5 shows the number of expanded clones (size &gt; 100) across disease categories. COVID Naive subjects showed the highest counts of expanded clones (median 157), consistent with pre-existing clonal expansions unrelated to SARS-CoV-2 infection. Recovered subjects also exhibited elevated counts (median 55). In contrast, Mild subjects had a median of 0 expanded clones, indicating that most Mild subjects lack clones exceeding the 100-copy threshold.</w:t>
      </w:r>
    </w:p>
    <w:p>
      <w:pPr>
        <w:spacing w:after="60" w:before="1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5. Number of expanded clones (size &gt; 100) by disease category. Box plots show median and IQR; red diamond indicates mean with SD error bars. Y-axis on log10 scale (+1 offset).</w:t>
      </w:r>
    </w:p>
    <w:p>
      <w:pPr>
        <w:pStyle w:val="Heading3"/>
        <w:spacing w:after="150" w:before="300"/>
      </w:pPr>
      <w:r>
        <w:rPr>
          <w:rFonts w:ascii="Times New Roman" w:cs="Times New Roman" w:eastAsia="Times New Roman" w:hAnsi="Times New Roman"/>
          <w:b/>
          <w:bCs/>
          <w:sz w:val="26"/>
          <w:szCs w:val="26"/>
        </w:rPr>
        <w:t xml:space="preserve">1.2 Median Clone Size by Disease Category</w:t>
      </w:r>
    </w:p>
    <w:p>
      <w:pPr>
        <w:spacing w:after="120" w:line="360"/>
        <w:jc w:val="both"/>
      </w:pPr>
      <w:r>
        <w:rPr>
          <w:rFonts w:ascii="Times New Roman" w:cs="Times New Roman" w:eastAsia="Times New Roman" w:hAnsi="Times New Roman"/>
          <w:sz w:val="24"/>
          <w:szCs w:val="24"/>
        </w:rPr>
        <w:t xml:space="preserve">Figure 6 presents the median clone size per subject across disease categories. COVID Naive subjects exhibited the highest median clone size (103 copies), approximately 2.8x higher than Mild cases (37 copies). Recovered (73.5) and Moderate (69.5) groups showed intermediate expansion, while Severe subjects had a median of 54.8 copies.</w:t>
      </w:r>
    </w:p>
    <w:p>
      <w:pPr>
        <w:spacing w:after="60" w:before="1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6. Median clone size per subject by disease category. Y-axis on log10 scale.</w:t>
      </w:r>
    </w:p>
    <w:p>
      <w:pPr>
        <w:spacing w:after="80" w:before="200"/>
      </w:pPr>
      <w:r>
        <w:rPr>
          <w:rFonts w:ascii="Times New Roman" w:cs="Times New Roman" w:eastAsia="Times New Roman" w:hAnsi="Times New Roman"/>
          <w:b/>
          <w:bCs/>
          <w:sz w:val="22"/>
          <w:szCs w:val="22"/>
        </w:rPr>
        <w:t xml:space="preserve">Table 2. Clone size summary statistics by disease category (n=96 subjects).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2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Median Clone Size</w:t>
            </w:r>
          </w:p>
        </w:tc>
        <w:tc>
          <w:tcPr>
            <w:tcW w:type="dxa" w:w="2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Median Expanded (&gt;100)</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Expanded %</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20</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54.8</w:t>
            </w:r>
          </w:p>
        </w:tc>
        <w:tc>
          <w:tcPr>
            <w:tcW w:type="dxa" w:w="2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34</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37.0</w:t>
            </w:r>
          </w:p>
        </w:tc>
        <w:tc>
          <w:tcPr>
            <w:tcW w:type="dxa" w:w="2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69.5</w:t>
            </w:r>
          </w:p>
        </w:tc>
        <w:tc>
          <w:tcPr>
            <w:tcW w:type="dxa" w:w="2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13.3%</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73.5</w:t>
            </w:r>
          </w:p>
        </w:tc>
        <w:tc>
          <w:tcPr>
            <w:tcW w:type="dxa" w:w="2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55</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16.4%</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103.0</w:t>
            </w:r>
          </w:p>
        </w:tc>
        <w:tc>
          <w:tcPr>
            <w:tcW w:type="dxa" w:w="2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157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31.1%</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58.3</w:t>
            </w:r>
          </w:p>
        </w:tc>
        <w:tc>
          <w:tcPr>
            <w:tcW w:type="dxa" w:w="2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12.5</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12.4%</w:t>
            </w:r>
          </w:p>
        </w:tc>
      </w:tr>
    </w:tbl>
    <w:p>
      <w:pPr>
        <w:pStyle w:val="Heading3"/>
        <w:spacing w:after="150" w:before="300"/>
      </w:pPr>
      <w:r>
        <w:rPr>
          <w:rFonts w:ascii="Times New Roman" w:cs="Times New Roman" w:eastAsia="Times New Roman" w:hAnsi="Times New Roman"/>
          <w:b/>
          <w:bCs/>
          <w:sz w:val="26"/>
          <w:szCs w:val="26"/>
        </w:rPr>
        <w:t xml:space="preserve">1.3 Mean Size of Expanded Clones</w:t>
      </w:r>
    </w:p>
    <w:p>
      <w:pPr>
        <w:spacing w:after="120" w:line="360"/>
        <w:jc w:val="both"/>
      </w:pPr>
      <w:r>
        <w:rPr>
          <w:rFonts w:ascii="Times New Roman" w:cs="Times New Roman" w:eastAsia="Times New Roman" w:hAnsi="Times New Roman"/>
          <w:sz w:val="24"/>
          <w:szCs w:val="24"/>
        </w:rPr>
        <w:t xml:space="preserve">Among subjects with expanded clones (size &gt; 100), Figure 7 shows the mean size of those expanded clones by disease category. The distributions were broadly similar across disease groups, indicating that while the number of expanded clones varies substantially, the degree of expansion per clone was broadly comparable.</w:t>
      </w:r>
    </w:p>
    <w:p>
      <w:pPr>
        <w:spacing w:after="60" w:before="1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7. Mean clone size of expanded clones (&gt;100 copies) only, by disease category. Y-axis on log10 scale.</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 finding:</w:t>
      </w:r>
      <w:r>
        <w:rPr>
          <w:rFonts w:ascii="Times New Roman" w:cs="Times New Roman" w:eastAsia="Times New Roman" w:hAnsi="Times New Roman"/>
          <w:sz w:val="24"/>
          <w:szCs w:val="24"/>
        </w:rPr>
        <w:t xml:space="preserve"> COVID Naive individuals show the highest median clone size (103), 2.8x higher than Mild cases (37). The dramatic difference in expanded clone counts—median 157 for COVID Naive vs. 0 for Mild—highlights fundamentally different clonal architectures between these groups.</w:t>
      </w:r>
    </w:p>
    <w:p>
      <w:r>
        <w:br w:type="page"/>
      </w:r>
    </w:p>
    <w:p>
      <w:pPr>
        <w:pStyle w:val="Heading2"/>
        <w:spacing w:after="150" w:before="300"/>
      </w:pPr>
      <w:r>
        <w:rPr>
          <w:rFonts w:ascii="Times New Roman" w:cs="Times New Roman" w:eastAsia="Times New Roman" w:hAnsi="Times New Roman"/>
          <w:b/>
          <w:bCs/>
          <w:sz w:val="28"/>
          <w:szCs w:val="28"/>
        </w:rPr>
        <w:t xml:space="preserve">2. Clonal Diversity (Clone Count)</w:t>
      </w:r>
    </w:p>
    <w:p>
      <w:pPr>
        <w:spacing w:after="120" w:line="360"/>
        <w:jc w:val="both"/>
      </w:pPr>
      <w:r>
        <w:rPr>
          <w:rFonts w:ascii="Times New Roman" w:cs="Times New Roman" w:eastAsia="Times New Roman" w:hAnsi="Times New Roman"/>
          <w:sz w:val="24"/>
          <w:szCs w:val="24"/>
        </w:rPr>
        <w:t xml:space="preserve">Clone count, representing the number of unique clones per subject, serves as a measure of clonal diversity. Higher clone counts reflect greater repertoire diversity.</w:t>
      </w:r>
    </w:p>
    <w:p>
      <w:pPr>
        <w:pStyle w:val="Heading3"/>
        <w:spacing w:after="150" w:before="300"/>
      </w:pPr>
      <w:r>
        <w:rPr>
          <w:rFonts w:ascii="Times New Roman" w:cs="Times New Roman" w:eastAsia="Times New Roman" w:hAnsi="Times New Roman"/>
          <w:b/>
          <w:bCs/>
          <w:sz w:val="26"/>
          <w:szCs w:val="26"/>
        </w:rPr>
        <w:t xml:space="preserve">2.1 Clone Count by Disease Category</w:t>
      </w:r>
    </w:p>
    <w:p>
      <w:pPr>
        <w:spacing w:after="120" w:line="360"/>
        <w:jc w:val="both"/>
      </w:pPr>
      <w:r>
        <w:rPr>
          <w:rFonts w:ascii="Times New Roman" w:cs="Times New Roman" w:eastAsia="Times New Roman" w:hAnsi="Times New Roman"/>
          <w:sz w:val="24"/>
          <w:szCs w:val="24"/>
        </w:rPr>
        <w:t xml:space="preserve">Figure 8 shows the distribution of unique clone counts across disease categories. Recovered and COVID Naive subjects exhibited markedly higher clone counts (median 21,526 and 16,682, respectively) compared to Mild (2,478) and Severe (5,089) groups, suggesting repertoire expansion following infection or vaccination. The Healthy group showed high variability (range 650–61,136).</w:t>
      </w:r>
    </w:p>
    <w:p>
      <w:pPr>
        <w:spacing w:after="60" w:before="1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8. Clone count (number of unique clones) by disease category. Box plots show median and IQR; red diamond indicates mean with SD error bars. Y-axis on log10 scale.</w:t>
      </w:r>
    </w:p>
    <w:p>
      <w:pPr>
        <w:spacing w:after="80" w:before="200"/>
      </w:pPr>
      <w:r>
        <w:rPr>
          <w:rFonts w:ascii="Times New Roman" w:cs="Times New Roman" w:eastAsia="Times New Roman" w:hAnsi="Times New Roman"/>
          <w:b/>
          <w:bCs/>
          <w:sz w:val="22"/>
          <w:szCs w:val="22"/>
        </w:rPr>
        <w:t xml:space="preserve">Table 3. Clone count summary statistics by disease category.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Median</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Mean</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Min</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Max</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5,089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9,529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1,319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35,137</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2,478</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3,127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95</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22,565</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5,085</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9,327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3,459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22,480</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21,527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19,661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5,713</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33,699</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16,682</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18,086</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8,156</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29,178</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1,707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14,443</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650</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61,136</w:t>
            </w:r>
          </w:p>
        </w:tc>
      </w:tr>
    </w:tbl>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 finding:</w:t>
      </w:r>
      <w:r>
        <w:rPr>
          <w:rFonts w:ascii="Times New Roman" w:cs="Times New Roman" w:eastAsia="Times New Roman" w:hAnsi="Times New Roman"/>
          <w:sz w:val="24"/>
          <w:szCs w:val="24"/>
        </w:rPr>
        <w:t xml:space="preserve"> Recovered and COVID Naive individuals have the highest clone counts (median ~17K–22K), suggesting greater clonal diversity. Mild cases have the lowest (median ~2,478), likely reflecting differences in sequencing depth across studies as well as biological differences in immune response magnitude.</w:t>
      </w:r>
    </w:p>
    <w:p>
      <w:r>
        <w:br w:type="page"/>
      </w:r>
    </w:p>
    <w:p>
      <w:pPr>
        <w:pStyle w:val="Heading2"/>
        <w:spacing w:after="150" w:before="300"/>
      </w:pPr>
      <w:r>
        <w:rPr>
          <w:rFonts w:ascii="Times New Roman" w:cs="Times New Roman" w:eastAsia="Times New Roman" w:hAnsi="Times New Roman"/>
          <w:b/>
          <w:bCs/>
          <w:sz w:val="28"/>
          <w:szCs w:val="28"/>
        </w:rPr>
        <w:t xml:space="preserve">3. Top-X Clone Proportion Analysis</w:t>
      </w:r>
    </w:p>
    <w:p>
      <w:pPr>
        <w:spacing w:after="120" w:line="360"/>
        <w:jc w:val="both"/>
      </w:pPr>
      <w:r>
        <w:rPr>
          <w:rFonts w:ascii="Times New Roman" w:cs="Times New Roman" w:eastAsia="Times New Roman" w:hAnsi="Times New Roman"/>
          <w:sz w:val="24"/>
          <w:szCs w:val="24"/>
        </w:rPr>
        <w:t xml:space="preserve">The proportion of total repertoire copies held by the top expanded clones (Top 10, Top 100, and Top 1000) provides a measure of clonal dominance. Higher proportions indicate that a small number of clones dominate the repertoire.</w:t>
      </w:r>
    </w:p>
    <w:p>
      <w:pPr>
        <w:pStyle w:val="Heading3"/>
        <w:spacing w:after="150" w:before="300"/>
      </w:pPr>
      <w:r>
        <w:rPr>
          <w:rFonts w:ascii="Times New Roman" w:cs="Times New Roman" w:eastAsia="Times New Roman" w:hAnsi="Times New Roman"/>
          <w:b/>
          <w:bCs/>
          <w:sz w:val="26"/>
          <w:szCs w:val="26"/>
        </w:rPr>
        <w:t xml:space="preserve">3.1 Top-X Proportion by Disease Category</w:t>
      </w:r>
    </w:p>
    <w:p>
      <w:pPr>
        <w:spacing w:after="120" w:line="360"/>
        <w:jc w:val="both"/>
      </w:pPr>
      <w:r>
        <w:rPr>
          <w:rFonts w:ascii="Times New Roman" w:cs="Times New Roman" w:eastAsia="Times New Roman" w:hAnsi="Times New Roman"/>
          <w:sz w:val="24"/>
          <w:szCs w:val="24"/>
        </w:rPr>
        <w:t xml:space="preserve">Figure 9 shows the proportion of total copies captured by the top 10, 100, and 1000 clones across disease categories. Healthy subjects showed notably high Top 1000 concentration (median 99.3%), indicating that nearly all copies belong to the top 1000 clones, consistent with a repertoire dominated by relatively few expanded clones. Moderate disease subjects showed the highest Top 10 dominance (median 23.1%).</w:t>
      </w:r>
    </w:p>
    <w:p>
      <w:pPr>
        <w:spacing w:after="60" w:before="1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38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9. Clonal dominance: fraction of total repertoire copies held by Top 10 (red), Top 11–100 (orange), Top 101–1000 (green), and remaining (blue) clones per subject, faceted by disease category and sorted by Top 10 dominance.</w:t>
      </w:r>
    </w:p>
    <w:p>
      <w:pPr>
        <w:spacing w:after="80" w:before="200"/>
      </w:pPr>
      <w:r>
        <w:rPr>
          <w:rFonts w:ascii="Times New Roman" w:cs="Times New Roman" w:eastAsia="Times New Roman" w:hAnsi="Times New Roman"/>
          <w:b/>
          <w:bCs/>
          <w:sz w:val="22"/>
          <w:szCs w:val="22"/>
        </w:rPr>
        <w:t xml:space="preserve">Table 4. Median proportion of total copies held by top-X clones.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 (%)</w:t>
            </w:r>
          </w:p>
        </w:tc>
        <w:tc>
          <w:tcPr>
            <w:tcW w:type="dxa" w:w="1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100 (%)</w:t>
            </w:r>
          </w:p>
        </w:tc>
        <w:tc>
          <w:tcPr>
            <w:tcW w:type="dxa" w:w="1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1000 (%)</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15.8</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34.4</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70.8</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10.6</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33.3</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75.2</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23.1</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46.5</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74.5</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13.7</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35.9</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62.0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9.6</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36.0</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74.0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16.9</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58.7</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99.3</w:t>
            </w:r>
          </w:p>
        </w:tc>
      </w:tr>
    </w:tbl>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 findings:</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Moderate disease shows the highest Top 10 dominance (23.1%), suggesting highly focused clonal responses. Healthy subjects have the highest Top 1000 fraction (99.3%), indicating an oligoclonal baseline repertoire. Mild cases show the lowest dominance across all tiers (10.5% Top 10), consistent with a more polyclonal response. Recovered subjects show the lowest Top 1000 proportion (62.0%), reflecting the broadest distribution of copies across a large and diverse repertoire.</w:t>
      </w:r>
    </w:p>
    <w:p>
      <w:r>
        <w:br w:type="page"/>
      </w:r>
    </w:p>
    <w:p>
      <w:pPr>
        <w:pStyle w:val="Heading2"/>
        <w:spacing w:after="150" w:before="300"/>
      </w:pPr>
      <w:r>
        <w:rPr>
          <w:rFonts w:ascii="Times New Roman" w:cs="Times New Roman" w:eastAsia="Times New Roman" w:hAnsi="Times New Roman"/>
          <w:b/>
          <w:bCs/>
          <w:sz w:val="28"/>
          <w:szCs w:val="28"/>
        </w:rPr>
        <w:t xml:space="preserve">4. CDR3 Amino Acid Length Analysis</w:t>
      </w:r>
    </w:p>
    <w:p>
      <w:pPr>
        <w:spacing w:after="120" w:line="360"/>
        <w:jc w:val="both"/>
      </w:pPr>
      <w:r>
        <w:rPr>
          <w:rFonts w:ascii="Times New Roman" w:cs="Times New Roman" w:eastAsia="Times New Roman" w:hAnsi="Times New Roman"/>
          <w:sz w:val="24"/>
          <w:szCs w:val="24"/>
        </w:rPr>
        <w:t xml:space="preserve">The CDR3 (Complementarity-Determining Region 3) amino acid length is a key structural feature of antibodies that influences antigen binding specificity. We analyzed the average CDR3 AA length of the top expanded clones (Top 10, Top 100, and Top 1000) to examine whether disease severity is associated with differences in CDR3 length of dominant clones.</w:t>
      </w:r>
    </w:p>
    <w:p>
      <w:pPr>
        <w:pStyle w:val="Heading3"/>
        <w:spacing w:after="150" w:before="300"/>
      </w:pPr>
      <w:r>
        <w:rPr>
          <w:rFonts w:ascii="Times New Roman" w:cs="Times New Roman" w:eastAsia="Times New Roman" w:hAnsi="Times New Roman"/>
          <w:b/>
          <w:bCs/>
          <w:sz w:val="26"/>
          <w:szCs w:val="26"/>
        </w:rPr>
        <w:t xml:space="preserve">4.1 CDR3 Length by Disease Category</w:t>
      </w:r>
    </w:p>
    <w:p>
      <w:pPr>
        <w:spacing w:after="120" w:line="360"/>
        <w:jc w:val="both"/>
      </w:pPr>
      <w:r>
        <w:rPr>
          <w:rFonts w:ascii="Times New Roman" w:cs="Times New Roman" w:eastAsia="Times New Roman" w:hAnsi="Times New Roman"/>
          <w:sz w:val="24"/>
          <w:szCs w:val="24"/>
        </w:rPr>
        <w:t xml:space="preserve">Figure 10 shows the average CDR3 AA length of the top expanded clones across disease categories. Severe cases exhibited the longest CDR3 lengths in Top 10 clones (median 17.7 AA), while Healthy subjects showed the shortest (median 13.8 AA). This difference was most pronounced in the Top 10 tier and diminished progressively with larger clone sets (Top 100, Top 1000), suggesting that the most expanded clones in severe disease tend to use longer CDR3 regions.</w:t>
      </w:r>
    </w:p>
    <w:p>
      <w:pPr>
        <w:spacing w:after="60" w:before="1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10. Average CDR3 amino acid length per subject for Top 10 (red), Top 100 (orange), and Top 1000 (green) expanded clones, by disease category.</w:t>
      </w:r>
    </w:p>
    <w:p>
      <w:pPr>
        <w:spacing w:after="80" w:before="200"/>
      </w:pPr>
      <w:r>
        <w:rPr>
          <w:rFonts w:ascii="Times New Roman" w:cs="Times New Roman" w:eastAsia="Times New Roman" w:hAnsi="Times New Roman"/>
          <w:b/>
          <w:bCs/>
          <w:sz w:val="22"/>
          <w:szCs w:val="22"/>
        </w:rPr>
        <w:t xml:space="preserve">Table 5. Median average CDR3 AA length of top-X clones by disease category.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 (AA)</w:t>
            </w:r>
          </w:p>
        </w:tc>
        <w:tc>
          <w:tcPr>
            <w:tcW w:type="dxa" w:w="1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100 (AA)</w:t>
            </w:r>
          </w:p>
        </w:tc>
        <w:tc>
          <w:tcPr>
            <w:tcW w:type="dxa" w:w="1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1000 (AA)</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17.7</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17.0</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17.1</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16.3</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16.9</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16.9</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17.3</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17.2</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17.5</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16.3</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16.6</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15.8</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16.6</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16.9</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13.8</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14.6</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16.1</w:t>
            </w:r>
          </w:p>
        </w:tc>
      </w:tr>
    </w:tbl>
    <w:p>
      <w:pPr>
        <w:pStyle w:val="Heading3"/>
        <w:spacing w:after="150" w:before="300"/>
      </w:pPr>
      <w:r>
        <w:rPr>
          <w:rFonts w:ascii="Times New Roman" w:cs="Times New Roman" w:eastAsia="Times New Roman" w:hAnsi="Times New Roman"/>
          <w:b/>
          <w:bCs/>
          <w:sz w:val="26"/>
          <w:szCs w:val="26"/>
        </w:rPr>
        <w:t xml:space="preserve">4.2 CDR3 Length Difference (Top 10 vs. Top 1000)</w:t>
      </w:r>
    </w:p>
    <w:p>
      <w:pPr>
        <w:spacing w:after="120" w:line="360"/>
        <w:jc w:val="both"/>
      </w:pPr>
      <w:r>
        <w:rPr>
          <w:rFonts w:ascii="Times New Roman" w:cs="Times New Roman" w:eastAsia="Times New Roman" w:hAnsi="Times New Roman"/>
          <w:sz w:val="24"/>
          <w:szCs w:val="24"/>
        </w:rPr>
        <w:t xml:space="preserve">To quantify the selective pressure on CDR3 length among the most expanded clones, we computed the difference in average CDR3 length between the Top 10 and Top 1000 clones per subject (Figure 11). Severe subjects had a positive median difference (+1.2 AA), indicating that the most expanded clones tend to have longer CDR3 regions. Healthy controls showed a negative difference (−2.1 AA), suggesting their most expanded clones have shorter CDR3 sequences. This CDR3 length gradient provides additional evidence that CDR3 length is a feature under positive selection during severe COVID-19.</w:t>
      </w:r>
    </w:p>
    <w:p>
      <w:pPr>
        <w:spacing w:after="60" w:before="1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11. CDR3 length difference between the Top 10 and Top 1000 clones per subject. Dashed line indicates zero difference.</w:t>
      </w:r>
    </w:p>
    <w:p>
      <w:pPr>
        <w:spacing w:after="80" w:before="200"/>
      </w:pPr>
      <w:r>
        <w:rPr>
          <w:rFonts w:ascii="Times New Roman" w:cs="Times New Roman" w:eastAsia="Times New Roman" w:hAnsi="Times New Roman"/>
          <w:b/>
          <w:bCs/>
          <w:sz w:val="22"/>
          <w:szCs w:val="22"/>
        </w:rPr>
        <w:t xml:space="preserve">Table 6. CDR3 length difference (Top 10 − Top 1000) by disease category.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3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Median Difference (AA)</w:t>
            </w:r>
          </w:p>
        </w:tc>
        <w:tc>
          <w:tcPr>
            <w:tcW w:type="dxa" w:w="3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Mean Difference (AA)</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+1.20</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+0.80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41</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−0.29</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−0.36</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+0.06</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−0.16</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−0.57</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−0.52</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−0.93</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−1.18</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−2.08</w:t>
            </w:r>
          </w:p>
        </w:tc>
        <w:tc>
          <w:tcPr>
            <w:tcW w:type="dxa" w:w="3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−2.34</w:t>
            </w:r>
          </w:p>
        </w:tc>
      </w:tr>
    </w:tbl>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 finding:</w:t>
      </w:r>
      <w:r>
        <w:rPr>
          <w:rFonts w:ascii="Times New Roman" w:cs="Times New Roman" w:eastAsia="Times New Roman" w:hAnsi="Times New Roman"/>
          <w:sz w:val="24"/>
          <w:szCs w:val="24"/>
        </w:rPr>
        <w:t xml:space="preserve"> Severe cases show the longest CDR3 in their top 10 clones (median 17.7 AA), while Healthy subjects show the shortest (median 13.8 AA). CDR3 lengths converge across groups at the Top 1000 level (~17.0–17.5 AA), indicating differences are driven by the most dominant clones. The positive CDR3 length gradient in Severe subjects suggests selection for longer binding loops during active infection.</w:t>
      </w:r>
    </w:p>
    <w:p>
      <w:r>
        <w:br w:type="page"/>
      </w:r>
    </w:p>
    <w:p>
      <w:pPr>
        <w:pStyle w:val="Heading2"/>
        <w:spacing w:after="150" w:before="300"/>
      </w:pPr>
      <w:r>
        <w:rPr>
          <w:rFonts w:ascii="Times New Roman" w:cs="Times New Roman" w:eastAsia="Times New Roman" w:hAnsi="Times New Roman"/>
          <w:b/>
          <w:bCs/>
          <w:sz w:val="28"/>
          <w:szCs w:val="28"/>
        </w:rPr>
        <w:t xml:space="preserve">5. Somatic Hypermutation Analysis</w:t>
      </w:r>
    </w:p>
    <w:p>
      <w:pPr>
        <w:spacing w:after="120" w:line="360"/>
        <w:jc w:val="both"/>
      </w:pPr>
      <w:r>
        <w:rPr>
          <w:rFonts w:ascii="Times New Roman" w:cs="Times New Roman" w:eastAsia="Times New Roman" w:hAnsi="Times New Roman"/>
          <w:sz w:val="24"/>
          <w:szCs w:val="24"/>
        </w:rPr>
        <w:t xml:space="preserve">Somatic hypermutation (SHM) is a key process in antibody affinity maturation, introducing point mutations in immunoglobulin variable regions. We analyzed the average number of mutations in the top expanded clones (Top 10, Top 100, and Top 1000) per subject to examine whether disease severity is associated with differences in mutation burden among dominant clones.</w:t>
      </w:r>
    </w:p>
    <w:p>
      <w:pPr>
        <w:pStyle w:val="Heading3"/>
        <w:spacing w:after="150" w:before="300"/>
      </w:pPr>
      <w:r>
        <w:rPr>
          <w:rFonts w:ascii="Times New Roman" w:cs="Times New Roman" w:eastAsia="Times New Roman" w:hAnsi="Times New Roman"/>
          <w:b/>
          <w:bCs/>
          <w:sz w:val="26"/>
          <w:szCs w:val="26"/>
        </w:rPr>
        <w:t xml:space="preserve">5.1 Mutation Level by Disease Category</w:t>
      </w:r>
    </w:p>
    <w:p>
      <w:pPr>
        <w:spacing w:after="120" w:line="360"/>
        <w:jc w:val="both"/>
      </w:pPr>
      <w:r>
        <w:rPr>
          <w:rFonts w:ascii="Times New Roman" w:cs="Times New Roman" w:eastAsia="Times New Roman" w:hAnsi="Times New Roman"/>
          <w:sz w:val="24"/>
          <w:szCs w:val="24"/>
        </w:rPr>
        <w:t xml:space="preserve">Figure 12 shows the average mutation count of the top expanded clones across disease categories. COVID Naive subjects exhibited the highest mutation levels in Top 10 clones (median 119.0), followed by Recovered (median 107.0), suggesting extensive affinity maturation in subjects with prior immune exposure. Mild subjects showed the lowest Top 10 mutation levels (median 48.6). The difference between tiers was most pronounced in COVID Naive subjects, where Top 10 clones carried substantially more mutations than Top 1000 clones, indicating strong selection of highly mutated dominant clones.</w:t>
      </w:r>
    </w:p>
    <w:p>
      <w:pPr>
        <w:spacing w:after="60" w:before="1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12. Average mutation count per subject for Top 10 (red), Top 100 (orange), and Top 1000 (green) expanded clones, by disease category.</w:t>
      </w:r>
    </w:p>
    <w:p>
      <w:pPr>
        <w:spacing w:after="80" w:before="200"/>
      </w:pPr>
      <w:r>
        <w:rPr>
          <w:rFonts w:ascii="Times New Roman" w:cs="Times New Roman" w:eastAsia="Times New Roman" w:hAnsi="Times New Roman"/>
          <w:b/>
          <w:bCs/>
          <w:sz w:val="22"/>
          <w:szCs w:val="22"/>
        </w:rPr>
        <w:t xml:space="preserve">Table 7. Median average mutation count of top-X clones by disease category.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w:t>
            </w:r>
          </w:p>
        </w:tc>
        <w:tc>
          <w:tcPr>
            <w:tcW w:type="dxa" w:w="1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100</w:t>
            </w:r>
          </w:p>
        </w:tc>
        <w:tc>
          <w:tcPr>
            <w:tcW w:type="dxa" w:w="1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Top 1000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80.2</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33.5</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16.9</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48.6</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25.5</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15.0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74.8</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30.3</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13.0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107.0</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60.1</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23.5</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119.0</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92.9</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27.3</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78.9</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35.5</w:t>
            </w:r>
          </w:p>
        </w:tc>
        <w:tc>
          <w:tcPr>
            <w:tcW w:type="dxa" w:w="1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12.7</w:t>
            </w:r>
          </w:p>
        </w:tc>
      </w:tr>
    </w:tbl>
    <w:p>
      <w:pPr>
        <w:pStyle w:val="Heading3"/>
        <w:spacing w:after="150" w:before="300"/>
      </w:pPr>
      <w:r>
        <w:rPr>
          <w:rFonts w:ascii="Times New Roman" w:cs="Times New Roman" w:eastAsia="Times New Roman" w:hAnsi="Times New Roman"/>
          <w:b/>
          <w:bCs/>
          <w:sz w:val="26"/>
          <w:szCs w:val="26"/>
        </w:rPr>
        <w:t xml:space="preserve">5.2 Mutation Gradient (Top 10 − Top 1000)</w:t>
      </w:r>
    </w:p>
    <w:p>
      <w:pPr>
        <w:spacing w:after="120" w:line="360"/>
        <w:jc w:val="both"/>
      </w:pPr>
      <w:r>
        <w:rPr>
          <w:rFonts w:ascii="Times New Roman" w:cs="Times New Roman" w:eastAsia="Times New Roman" w:hAnsi="Times New Roman"/>
          <w:sz w:val="24"/>
          <w:szCs w:val="24"/>
        </w:rPr>
        <w:t xml:space="preserve">The mutation gradient—defined as the difference in average mutation count between the Top 10 and Top 1000 clones—was positive across all disease categories (Figure 13), indicating that more expanded clones consistently carry more mutations. COVID Naive subjects showed the steepest gradient (median 92.2), while Mild subjects had the shallowest (median 33.2), suggesting a more uniform mutation profile in mild disease.</w:t>
      </w:r>
    </w:p>
    <w:p>
      <w:pPr>
        <w:spacing w:after="60" w:before="1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13. Mutation gradient (Top 10 minus Top 1000 mutation count) by disease category, reflecting selective enrichment of mutated clones.</w:t>
      </w:r>
    </w:p>
    <w:p>
      <w:pPr>
        <w:spacing w:after="80" w:before="200"/>
      </w:pPr>
      <w:r>
        <w:rPr>
          <w:rFonts w:ascii="Times New Roman" w:cs="Times New Roman" w:eastAsia="Times New Roman" w:hAnsi="Times New Roman"/>
          <w:b/>
          <w:bCs/>
          <w:sz w:val="22"/>
          <w:szCs w:val="22"/>
        </w:rPr>
        <w:t xml:space="preserve">Table 8. Mutation gradient (Top 10 − Top 1000) by disease category.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2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Median Gradient</w:t>
            </w:r>
          </w:p>
        </w:tc>
        <w:tc>
          <w:tcPr>
            <w:tcW w:type="dxa" w:w="2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Mean Gradient</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58.5</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62.6</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41</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33.2</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37.2</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62.0</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73.2</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81.2</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84.0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92.2</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99.4</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68.1</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61.1</w:t>
            </w:r>
          </w:p>
        </w:tc>
      </w:tr>
    </w:tbl>
    <w:p>
      <w:r>
        <w:br w:type="page"/>
      </w:r>
    </w:p>
    <w:p>
      <w:pPr>
        <w:pStyle w:val="Heading2"/>
        <w:spacing w:after="150" w:before="300"/>
      </w:pPr>
      <w:r>
        <w:rPr>
          <w:rFonts w:ascii="Times New Roman" w:cs="Times New Roman" w:eastAsia="Times New Roman" w:hAnsi="Times New Roman"/>
          <w:b/>
          <w:bCs/>
          <w:sz w:val="28"/>
          <w:szCs w:val="28"/>
        </w:rPr>
        <w:t xml:space="preserve">6. Region-Specific Mutation Analysis (CDR vs. FW)</w:t>
      </w:r>
    </w:p>
    <w:p>
      <w:pPr>
        <w:spacing w:after="120" w:line="360"/>
        <w:jc w:val="both"/>
      </w:pPr>
      <w:r>
        <w:rPr>
          <w:rFonts w:ascii="Times New Roman" w:cs="Times New Roman" w:eastAsia="Times New Roman" w:hAnsi="Times New Roman"/>
          <w:sz w:val="24"/>
          <w:szCs w:val="24"/>
        </w:rPr>
        <w:t xml:space="preserve">To distinguish between antigen-driven selection and background mutation accumulation, we analyzed mutation rates separately for complementarity-determining regions (CDR) and framework (FW) regions. CDR mutations are concentrated at antigen-contact residues and are the primary target of antigen-driven positive selection, while FW mutations reflect broader mutational processes and are constrained by structural conservation requirements.</w:t>
      </w:r>
    </w:p>
    <w:p>
      <w:pPr>
        <w:pStyle w:val="Heading3"/>
        <w:spacing w:after="150" w:before="300"/>
      </w:pPr>
      <w:r>
        <w:rPr>
          <w:rFonts w:ascii="Times New Roman" w:cs="Times New Roman" w:eastAsia="Times New Roman" w:hAnsi="Times New Roman"/>
          <w:b/>
          <w:bCs/>
          <w:sz w:val="26"/>
          <w:szCs w:val="26"/>
        </w:rPr>
        <w:t xml:space="preserve">6.1 CDR Mutations by Disease Category</w:t>
      </w:r>
    </w:p>
    <w:p>
      <w:pPr>
        <w:spacing w:after="120" w:line="360"/>
        <w:jc w:val="both"/>
      </w:pPr>
      <w:r>
        <w:rPr>
          <w:rFonts w:ascii="Times New Roman" w:cs="Times New Roman" w:eastAsia="Times New Roman" w:hAnsi="Times New Roman"/>
          <w:sz w:val="24"/>
          <w:szCs w:val="24"/>
        </w:rPr>
        <w:t xml:space="preserve">Figure 14 shows the average CDR mutations per clone by disease category. Mild subjects exhibited the highest median CDR mutation rate (5.11 mutations per clone), followed by Severe (4.39) and Healthy (4.23). COVID Naive subjects showed a median of 3.40, and Recovered 3.04.</w:t>
      </w:r>
    </w:p>
    <w:p>
      <w:pPr>
        <w:spacing w:after="60" w:before="1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14. Average CDR region mutations per clone by disease category.</w:t>
      </w:r>
    </w:p>
    <w:p>
      <w:pPr>
        <w:pStyle w:val="Heading3"/>
        <w:spacing w:after="150" w:before="300"/>
      </w:pPr>
      <w:r>
        <w:rPr>
          <w:rFonts w:ascii="Times New Roman" w:cs="Times New Roman" w:eastAsia="Times New Roman" w:hAnsi="Times New Roman"/>
          <w:b/>
          <w:bCs/>
          <w:sz w:val="26"/>
          <w:szCs w:val="26"/>
        </w:rPr>
        <w:t xml:space="preserve">6.2 Framework Mutations by Disease Category</w:t>
      </w:r>
    </w:p>
    <w:p>
      <w:pPr>
        <w:spacing w:after="120" w:line="360"/>
        <w:jc w:val="both"/>
      </w:pPr>
      <w:r>
        <w:rPr>
          <w:rFonts w:ascii="Times New Roman" w:cs="Times New Roman" w:eastAsia="Times New Roman" w:hAnsi="Times New Roman"/>
          <w:sz w:val="24"/>
          <w:szCs w:val="24"/>
        </w:rPr>
        <w:t xml:space="preserve">Figure 15 shows the average FW mutations per clone. Framework mutations were consistently higher than CDR mutations across all groups, reflecting the longer total length of FW regions. Mild subjects had the highest FW mutations (median 11.3), while COVID Naive had the lowest (6.49).</w:t>
      </w:r>
    </w:p>
    <w:p>
      <w:pPr>
        <w:spacing w:after="60" w:before="1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15. Average framework (FW) region mutations per clone by disease category.</w:t>
      </w:r>
    </w:p>
    <w:p>
      <w:pPr>
        <w:spacing w:after="80" w:before="200"/>
      </w:pPr>
      <w:r>
        <w:rPr>
          <w:rFonts w:ascii="Times New Roman" w:cs="Times New Roman" w:eastAsia="Times New Roman" w:hAnsi="Times New Roman"/>
          <w:b/>
          <w:bCs/>
          <w:sz w:val="22"/>
          <w:szCs w:val="22"/>
        </w:rPr>
        <w:t xml:space="preserve">Table 9. Median mutation by region and CDR/FW ratio by disease category.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Median CDR</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Median FW</w:t>
            </w:r>
          </w:p>
        </w:tc>
        <w:tc>
          <w:tcPr>
            <w:tcW w:type="dxa" w:w="16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CDR/FW Ratio</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4.39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9.11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0.433</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5.11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11.30</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0.442</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1.78</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8.53</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0.209</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3.04</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8.51</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0.600</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3.40</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6.49</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0.550</w:t>
            </w:r>
          </w:p>
        </w:tc>
      </w:tr>
      <w:tr>
        <w:tc>
          <w:tcPr>
            <w:tcW w:type="dxa" w:w="20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4.23</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7.37</w:t>
            </w:r>
          </w:p>
        </w:tc>
        <w:tc>
          <w:tcPr>
            <w:tcW w:type="dxa" w:w="16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0.587</w:t>
            </w:r>
          </w:p>
        </w:tc>
      </w:tr>
    </w:tbl>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 finding:</w:t>
      </w:r>
      <w:r>
        <w:rPr>
          <w:rFonts w:ascii="Times New Roman" w:cs="Times New Roman" w:eastAsia="Times New Roman" w:hAnsi="Times New Roman"/>
          <w:sz w:val="24"/>
          <w:szCs w:val="24"/>
        </w:rPr>
        <w:t xml:space="preserve"> The CDR-to-FW mutation ratio provides insight into the nature of selection. Recovered subjects showed the highest ratio (0.600), indicative of stronger antigen-driven selection relative to background mutation. Moderate subjects showed the lowest ratio (0.209), suggesting a relatively higher proportion of background over antigen-driven mutations in this group, potentially reflecting an earlier stage of the immune response.</w:t>
      </w:r>
    </w:p>
    <w:p>
      <w:r>
        <w:br w:type="page"/>
      </w:r>
    </w:p>
    <w:p>
      <w:pPr>
        <w:pStyle w:val="Heading2"/>
        <w:spacing w:after="150" w:before="300"/>
      </w:pPr>
      <w:r>
        <w:rPr>
          <w:rFonts w:ascii="Times New Roman" w:cs="Times New Roman" w:eastAsia="Times New Roman" w:hAnsi="Times New Roman"/>
          <w:b/>
          <w:bCs/>
          <w:sz w:val="28"/>
          <w:szCs w:val="28"/>
        </w:rPr>
        <w:t xml:space="preserve">7. Replacement-to-Synonymous (R/S) Mutation Ratio</w:t>
      </w:r>
    </w:p>
    <w:p>
      <w:pPr>
        <w:spacing w:after="120" w:line="360"/>
        <w:jc w:val="both"/>
      </w:pPr>
      <w:r>
        <w:rPr>
          <w:rFonts w:ascii="Times New Roman" w:cs="Times New Roman" w:eastAsia="Times New Roman" w:hAnsi="Times New Roman"/>
          <w:sz w:val="24"/>
          <w:szCs w:val="24"/>
        </w:rPr>
        <w:t xml:space="preserve">The R/S ratio quantifies the balance between replacement (non-synonymous) and synonymous mutations, serving as a direct proxy for positive selection pressure. An R/S ratio significantly above 1.0 indicates that replacement mutations are enriched beyond what would be expected under neutral evolution, consistent with antigen-driven selection. We computed R/S ratios separately for CDR and FW regions.</w:t>
      </w:r>
    </w:p>
    <w:p>
      <w:pPr>
        <w:pStyle w:val="Heading3"/>
        <w:spacing w:after="150" w:before="300"/>
      </w:pPr>
      <w:r>
        <w:rPr>
          <w:rFonts w:ascii="Times New Roman" w:cs="Times New Roman" w:eastAsia="Times New Roman" w:hAnsi="Times New Roman"/>
          <w:b/>
          <w:bCs/>
          <w:sz w:val="26"/>
          <w:szCs w:val="26"/>
        </w:rPr>
        <w:t xml:space="preserve">7.1 R/S Ratio by Disease Category</w:t>
      </w:r>
    </w:p>
    <w:p>
      <w:pPr>
        <w:spacing w:after="120" w:line="360"/>
        <w:jc w:val="both"/>
      </w:pPr>
      <w:r>
        <w:rPr>
          <w:rFonts w:ascii="Times New Roman" w:cs="Times New Roman" w:eastAsia="Times New Roman" w:hAnsi="Times New Roman"/>
          <w:sz w:val="24"/>
          <w:szCs w:val="24"/>
        </w:rPr>
        <w:t xml:space="preserve">Figure 16 shows the R/S ratio in CDR and FW regions across disease categories. CDR regions exhibited markedly higher R/S ratios than framework regions across all disease categories, consistent with CDR regions being the primary target of antigen-driven selection. The median CDR R/S ratio ranged from 1.98 (Moderate) to 3.18 (Mild), all well above the neutral threshold of 1.0. Framework R/S ratios were more constrained (range: 1.51–1.72), consistent with structural conservation pressures.</w:t>
      </w:r>
    </w:p>
    <w:p>
      <w:pPr>
        <w:spacing w:after="60" w:before="1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619500"/>
                    </a:xfrm>
                    <a:prstGeom prst="rect">
                      <a:avLst/>
                    </a:prstGeom>
                  </pic:spPr>
                </pic:pic>
              </a:graphicData>
            </a:graphic>
          </wp:inline>
        </w:drawing>
      </w:r>
    </w:p>
    <w:p>
      <w:pPr>
        <w:spacing w:after="200" w:before="60"/>
      </w:pPr>
      <w:r>
        <w:rPr>
          <w:rFonts w:ascii="Times New Roman" w:cs="Times New Roman" w:eastAsia="Times New Roman" w:hAnsi="Times New Roman"/>
          <w:i/>
          <w:iCs/>
          <w:sz w:val="22"/>
          <w:szCs w:val="22"/>
        </w:rPr>
        <w:t xml:space="preserve">Figure 16. Replacement-to-synonymous (R/S) mutation ratio in CDR and FW regions by disease category. Dashed line at R/S = 1.0 indicates neutral selection.</w:t>
      </w:r>
    </w:p>
    <w:p>
      <w:pPr>
        <w:spacing w:after="80" w:before="200"/>
      </w:pPr>
      <w:r>
        <w:rPr>
          <w:rFonts w:ascii="Times New Roman" w:cs="Times New Roman" w:eastAsia="Times New Roman" w:hAnsi="Times New Roman"/>
          <w:b/>
          <w:bCs/>
          <w:sz w:val="22"/>
          <w:szCs w:val="22"/>
        </w:rPr>
        <w:t xml:space="preserve">Table 10. Median R/S ratio by region and disease category.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Disease Category</w:t>
            </w:r>
          </w:p>
        </w:tc>
        <w:tc>
          <w:tcPr>
            <w:tcW w:type="dxa" w:w="8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n</w:t>
            </w:r>
          </w:p>
        </w:tc>
        <w:tc>
          <w:tcPr>
            <w:tcW w:type="dxa" w:w="2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CDR R/S</w:t>
            </w:r>
          </w:p>
        </w:tc>
        <w:tc>
          <w:tcPr>
            <w:tcW w:type="dxa" w:w="2200"/>
            <w:tcBorders>
              <w:top w:val="single" w:color="999999" w:sz="1"/>
              <w:left w:val="single" w:color="999999" w:sz="1"/>
              <w:bottom w:val="single" w:color="999999" w:sz="1"/>
              <w:right w:val="single" w:color="999999" w:sz="1"/>
            </w:tcBorders>
            <w:shd w:fill="D9E2F3" w:color="D9E2F3" w:val="clear"/>
          </w:tcPr>
          <w:p>
            <w:pPr>
              <w:spacing w:after="40"/>
              <w:jc w:val="center"/>
            </w:pPr>
            <w:r>
              <w:rPr>
                <w:rFonts w:ascii="Times New Roman" w:cs="Times New Roman" w:eastAsia="Times New Roman" w:hAnsi="Times New Roman"/>
                <w:b/>
                <w:bCs/>
                <w:sz w:val="22"/>
                <w:szCs w:val="22"/>
              </w:rPr>
              <w:t xml:space="preserve">FW R/S</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Severe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27</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2.66</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1.58</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Mild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41</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3.18</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1.58</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Moderate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9</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1.98</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1.60</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Recovered</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12</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3.13</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1.61</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COVID Naive</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8</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3.04</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1.51</w:t>
            </w:r>
          </w:p>
        </w:tc>
      </w:tr>
      <w:tr>
        <w:tc>
          <w:tcPr>
            <w:tcW w:type="dxa" w:w="24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Healthy</w:t>
            </w:r>
          </w:p>
        </w:tc>
        <w:tc>
          <w:tcPr>
            <w:tcW w:type="dxa" w:w="8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6</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3.02</w:t>
            </w:r>
          </w:p>
        </w:tc>
        <w:tc>
          <w:tcPr>
            <w:tcW w:type="dxa" w:w="2200"/>
            <w:tcBorders>
              <w:top w:val="single" w:color="999999" w:sz="1"/>
              <w:left w:val="single" w:color="999999" w:sz="1"/>
              <w:bottom w:val="single" w:color="999999" w:sz="1"/>
              <w:right w:val="single" w:color="999999" w:sz="1"/>
            </w:tcBorders>
          </w:tcPr>
          <w:p>
            <w:pPr>
              <w:spacing w:after="40"/>
              <w:jc w:val="center"/>
            </w:pPr>
            <w:r>
              <w:rPr>
                <w:rFonts w:ascii="Times New Roman" w:cs="Times New Roman" w:eastAsia="Times New Roman" w:hAnsi="Times New Roman"/>
                <w:b w:val="false"/>
                <w:bCs w:val="false"/>
                <w:sz w:val="22"/>
                <w:szCs w:val="22"/>
              </w:rPr>
              <w:t xml:space="preserve">1.72</w:t>
            </w:r>
          </w:p>
        </w:tc>
      </w:tr>
    </w:tbl>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 findings:</w:t>
      </w:r>
      <w:r>
        <w:rPr>
          <w:rFonts w:ascii="Times New Roman" w:cs="Times New Roman" w:eastAsia="Times New Roman" w:hAnsi="Times New Roman"/>
          <w:sz w:val="24"/>
          <w:szCs w:val="24"/>
        </w:rPr>
        <w:t xml:space="preserve"> All disease categories show CDR R/S ratios well above 1.0, confirming strong positive selection in antigen-binding regions. Mild subjects showed the highest CDR R/S (3.18), suggesting efficient selection despite lower overall mutation burden. Moderate subjects showed the lowest CDR R/S (1.98), which combined with their low CDR/FW mutation ratio (0.209), suggests reduced antigen-driven selection relative to other disease groups, potentially reflecting an earlier stage of the immune response where selection has not yet fully shaped the repertoire.</w:t>
      </w:r>
    </w:p>
    <w:p>
      <w:r>
        <w:br w:type="page"/>
      </w:r>
    </w:p>
    <w:p>
      <w:pPr>
        <w:pStyle w:val="Heading2"/>
        <w:spacing w:after="150" w:before="300"/>
      </w:pPr>
      <w:r>
        <w:rPr>
          <w:rFonts w:ascii="Times New Roman" w:cs="Times New Roman" w:eastAsia="Times New Roman" w:hAnsi="Times New Roman"/>
          <w:b/>
          <w:bCs/>
          <w:sz w:val="28"/>
          <w:szCs w:val="28"/>
        </w:rPr>
        <w:t xml:space="preserve">8. Summary of Results</w:t>
      </w:r>
    </w:p>
    <w:p>
      <w:pPr>
        <w:spacing w:after="120" w:line="360"/>
        <w:jc w:val="both"/>
      </w:pPr>
      <w:r>
        <w:rPr>
          <w:rFonts w:ascii="Times New Roman" w:cs="Times New Roman" w:eastAsia="Times New Roman" w:hAnsi="Times New Roman"/>
          <w:sz w:val="24"/>
          <w:szCs w:val="24"/>
        </w:rPr>
        <w:t xml:space="preserve">This study analyzed B-cell receptor (BCR) repertoire characteristics across 103 subjects from seven independent immune repertoire datasets, encompassing a spectrum of COVID-19 disease severities as well as healthy and COVID-naive controls. Using the iReceptor Statistics API (v0.3.0), we examined seven complementary dimensions of clonal architecture: clone size and expansion, clonal diversity, clonal dominance (top-X clone proportions), CDR3 amino acid length, somatic hypermutation levels, region-specific mutation (CDR vs. FW), and replacement-to-synonymous (R/S) mutation ratios. The following summarizes the principal findings across these analyses.</w:t>
      </w:r>
    </w:p>
    <w:p>
      <w:pPr>
        <w:pStyle w:val="Heading3"/>
        <w:spacing w:after="150" w:before="300"/>
      </w:pPr>
      <w:r>
        <w:rPr>
          <w:rFonts w:ascii="Times New Roman" w:cs="Times New Roman" w:eastAsia="Times New Roman" w:hAnsi="Times New Roman"/>
          <w:b/>
          <w:bCs/>
          <w:sz w:val="26"/>
          <w:szCs w:val="26"/>
        </w:rPr>
        <w:t xml:space="preserve">8.1 Clonal Expansion and Clone Size</w:t>
      </w:r>
    </w:p>
    <w:p>
      <w:pPr>
        <w:spacing w:after="120" w:line="360"/>
        <w:jc w:val="both"/>
      </w:pPr>
      <w:r>
        <w:rPr>
          <w:rFonts w:ascii="Times New Roman" w:cs="Times New Roman" w:eastAsia="Times New Roman" w:hAnsi="Times New Roman"/>
          <w:sz w:val="24"/>
          <w:szCs w:val="24"/>
        </w:rPr>
        <w:t xml:space="preserve">Clone size analysis (96 subjects) revealed that COVID Naive subjects harbored the highest numbers of expanded clones (size &gt; 100; median 157) and the largest median clone size (103 copies), compared to Mild subjects who had a median of 0 expanded clones and the lowest median clone size (37 copies). This suggests the presence of pre-existing clonal expansions in COVID Naive individuals, likely reflecting prior antigen exposures. Recovered subjects also showed elevated expansion (median 55 expanded clones), consistent with a mature post-infection repertoire. Seven CD1 Severe subjects were unavailable for clone size analysis.</w:t>
      </w:r>
    </w:p>
    <w:p>
      <w:pPr>
        <w:pStyle w:val="Heading3"/>
        <w:spacing w:after="150" w:before="300"/>
      </w:pPr>
      <w:r>
        <w:rPr>
          <w:rFonts w:ascii="Times New Roman" w:cs="Times New Roman" w:eastAsia="Times New Roman" w:hAnsi="Times New Roman"/>
          <w:b/>
          <w:bCs/>
          <w:sz w:val="26"/>
          <w:szCs w:val="26"/>
        </w:rPr>
        <w:t xml:space="preserve">8.2 Clonal Diversity</w:t>
      </w:r>
    </w:p>
    <w:p>
      <w:pPr>
        <w:spacing w:after="120" w:line="360"/>
        <w:jc w:val="both"/>
      </w:pPr>
      <w:r>
        <w:rPr>
          <w:rFonts w:ascii="Times New Roman" w:cs="Times New Roman" w:eastAsia="Times New Roman" w:hAnsi="Times New Roman"/>
          <w:sz w:val="24"/>
          <w:szCs w:val="24"/>
        </w:rPr>
        <w:t xml:space="preserve">Clonal diversity, measured by the total number of unique clones per subject, varied markedly across disease categories. Recovered subjects exhibited the highest median clone count (21,526), followed by COVID Naive (16,682), while Mild subjects had the lowest (2,478). Severe subjects showed an intermediate median of 5,089. The elevated clone counts in Recovered and COVID Naive groups suggest that immune exposure—whether through natural infection and recovery or pre-existing immunity—drives substantial repertoire diversification. The Healthy group displayed high variability (range 650–61,136), potentially reflecting heterogeneous prior immune histories.</w:t>
      </w:r>
    </w:p>
    <w:p>
      <w:pPr>
        <w:pStyle w:val="Heading3"/>
        <w:spacing w:after="150" w:before="300"/>
      </w:pPr>
      <w:r>
        <w:rPr>
          <w:rFonts w:ascii="Times New Roman" w:cs="Times New Roman" w:eastAsia="Times New Roman" w:hAnsi="Times New Roman"/>
          <w:b/>
          <w:bCs/>
          <w:sz w:val="26"/>
          <w:szCs w:val="26"/>
        </w:rPr>
        <w:t xml:space="preserve">8.3 Clonal Dominance (Top-X Clone Proportions)</w:t>
      </w:r>
    </w:p>
    <w:p>
      <w:pPr>
        <w:spacing w:after="120" w:line="360"/>
        <w:jc w:val="both"/>
      </w:pPr>
      <w:r>
        <w:rPr>
          <w:rFonts w:ascii="Times New Roman" w:cs="Times New Roman" w:eastAsia="Times New Roman" w:hAnsi="Times New Roman"/>
          <w:sz w:val="24"/>
          <w:szCs w:val="24"/>
        </w:rPr>
        <w:t xml:space="preserve">Healthy subjects showed strikingly high Top 1000 concentration (median 99.3%), indicating that nearly all sequence copies belonged to the top 1000 clones. This is consistent with a small, highly concentrated repertoire dominated by a limited number of expanded clones. Moderate disease subjects exhibited the highest Top 10 dominance (median 23.1%), suggesting that a few clones undergo particularly aggressive expansion during moderate-severity COVID-19. Recovered subjects showed a relatively low Top 1000 proportion (62.0%), reflecting the broader distribution of copies across a large and diverse repertoire.</w:t>
      </w:r>
    </w:p>
    <w:p>
      <w:pPr>
        <w:pStyle w:val="Heading3"/>
        <w:spacing w:after="150" w:before="300"/>
      </w:pPr>
      <w:r>
        <w:rPr>
          <w:rFonts w:ascii="Times New Roman" w:cs="Times New Roman" w:eastAsia="Times New Roman" w:hAnsi="Times New Roman"/>
          <w:b/>
          <w:bCs/>
          <w:sz w:val="26"/>
          <w:szCs w:val="26"/>
        </w:rPr>
        <w:t xml:space="preserve">8.4 CDR3 Amino Acid Length</w:t>
      </w:r>
    </w:p>
    <w:p>
      <w:pPr>
        <w:spacing w:after="120" w:line="360"/>
        <w:jc w:val="both"/>
      </w:pPr>
      <w:r>
        <w:rPr>
          <w:rFonts w:ascii="Times New Roman" w:cs="Times New Roman" w:eastAsia="Times New Roman" w:hAnsi="Times New Roman"/>
          <w:sz w:val="24"/>
          <w:szCs w:val="24"/>
        </w:rPr>
        <w:t xml:space="preserve">CDR3 length analysis of the top expanded clones revealed a gradient associated with disease severity. Severe cases exhibited the longest CDR3 regions in their Top 10 clones (median 17.7 AA), while Healthy subjects showed the shortest (median 13.8 AA). This difference was most pronounced in the Top 10 tier and diminished progressively with larger clone sets (Top 100 and Top 1000), suggesting that the most aggressively expanded clones in severe disease tend to utilize longer CDR3 regions. Longer CDR3 loops can form more complex antigen-binding surfaces, which may reflect the selection of antibodies targeting specific SARS-CoV-2 epitopes during severe infection. The positive CDR3 length gradient in Severe (+1.2 AA) vs. negative in Healthy (−2.1 AA) further supports this interpretation.</w:t>
      </w:r>
    </w:p>
    <w:p>
      <w:pPr>
        <w:pStyle w:val="Heading3"/>
        <w:spacing w:after="150" w:before="300"/>
      </w:pPr>
      <w:r>
        <w:rPr>
          <w:rFonts w:ascii="Times New Roman" w:cs="Times New Roman" w:eastAsia="Times New Roman" w:hAnsi="Times New Roman"/>
          <w:b/>
          <w:bCs/>
          <w:sz w:val="26"/>
          <w:szCs w:val="26"/>
        </w:rPr>
        <w:t xml:space="preserve">8.5 Somatic Hypermutation</w:t>
      </w:r>
    </w:p>
    <w:p>
      <w:pPr>
        <w:spacing w:after="120" w:line="360"/>
        <w:jc w:val="both"/>
      </w:pPr>
      <w:r>
        <w:rPr>
          <w:rFonts w:ascii="Times New Roman" w:cs="Times New Roman" w:eastAsia="Times New Roman" w:hAnsi="Times New Roman"/>
          <w:sz w:val="24"/>
          <w:szCs w:val="24"/>
        </w:rPr>
        <w:t xml:space="preserve">Somatic hypermutation (SHM) analysis revealed substantial variation in mutation burden across disease categories. COVID Naive subjects showed the highest mutation levels in their Top 10 clones (median 119.0 mutations), followed by Recovered subjects (median 107.0). Mild subjects exhibited the lowest Top 10 mutation levels (median 48.6). The elevated mutation burden in COVID Naive and Recovered groups is consistent with extensive affinity maturation driven by prior or resolved immune responses. The steep mutation gradient between Top 10 and Top 1000 was particularly pronounced in COVID Naive subjects (119.0 vs. 27.3), indicating that the most expanded clones are highly selected, affinity-matured antibodies.</w:t>
      </w:r>
    </w:p>
    <w:p>
      <w:pPr>
        <w:pStyle w:val="Heading3"/>
        <w:spacing w:after="150" w:before="300"/>
      </w:pPr>
      <w:r>
        <w:rPr>
          <w:rFonts w:ascii="Times New Roman" w:cs="Times New Roman" w:eastAsia="Times New Roman" w:hAnsi="Times New Roman"/>
          <w:b/>
          <w:bCs/>
          <w:sz w:val="26"/>
          <w:szCs w:val="26"/>
        </w:rPr>
        <w:t xml:space="preserve">8.6 Region-Specific Mutation and R/S Ratios</w:t>
      </w:r>
    </w:p>
    <w:p>
      <w:pPr>
        <w:spacing w:after="120" w:line="360"/>
        <w:jc w:val="both"/>
      </w:pPr>
      <w:r>
        <w:rPr>
          <w:rFonts w:ascii="Times New Roman" w:cs="Times New Roman" w:eastAsia="Times New Roman" w:hAnsi="Times New Roman"/>
          <w:sz w:val="24"/>
          <w:szCs w:val="24"/>
        </w:rPr>
        <w:t xml:space="preserve">Analysis of mutation distribution across antibody regions revealed that FW regions consistently carried more total mutations than CDR regions, reflecting their longer combined length. However, the CDR-to-FW mutation ratio varied meaningfully across disease categories, with Recovered subjects showing the highest ratio (0.600) and Moderate subjects the lowest (0.209), suggesting differences in the balance between antigen-driven and background mutation.</w:t>
      </w:r>
    </w:p>
    <w:p>
      <w:pPr>
        <w:spacing w:after="120" w:line="360"/>
        <w:jc w:val="both"/>
      </w:pPr>
      <w:r>
        <w:rPr>
          <w:rFonts w:ascii="Times New Roman" w:cs="Times New Roman" w:eastAsia="Times New Roman" w:hAnsi="Times New Roman"/>
          <w:sz w:val="24"/>
          <w:szCs w:val="24"/>
        </w:rPr>
        <w:t xml:space="preserve">R/S ratio analysis confirmed strong positive selection in CDR regions across all disease categories (median CDR R/S: 1.98–3.18), well above the neutral threshold of 1.0. Framework R/S ratios were more constrained (1.51–1.72), consistent with structural conservation. Notably, Mild subjects showed the highest CDR R/S ratio (3.18) despite having the lowest overall mutation burden, suggesting efficient but narrow antigen-driven selection. Moderate subjects showed the lowest CDR R/S (1.98), consistent with a less mature selection profile.</w:t>
      </w:r>
    </w:p>
    <w:p>
      <w:pPr>
        <w:pStyle w:val="Heading3"/>
        <w:spacing w:after="150" w:before="300"/>
      </w:pPr>
      <w:r>
        <w:rPr>
          <w:rFonts w:ascii="Times New Roman" w:cs="Times New Roman" w:eastAsia="Times New Roman" w:hAnsi="Times New Roman"/>
          <w:b/>
          <w:bCs/>
          <w:sz w:val="26"/>
          <w:szCs w:val="26"/>
        </w:rPr>
        <w:t xml:space="preserve">8.7 Methodological Considerations</w:t>
      </w:r>
    </w:p>
    <w:p>
      <w:pPr>
        <w:spacing w:after="120" w:line="360"/>
        <w:jc w:val="both"/>
      </w:pPr>
      <w:r>
        <w:rPr>
          <w:rFonts w:ascii="Times New Roman" w:cs="Times New Roman" w:eastAsia="Times New Roman" w:hAnsi="Times New Roman"/>
          <w:sz w:val="24"/>
          <w:szCs w:val="24"/>
        </w:rPr>
        <w:t xml:space="preserve">This analysis leveraged the iReceptor Statistics API (v0.3.0), which provides a standardized framework for computing repertoire statistics across federated datasets. The metadata fingerprint grouping approach ensures correct per-tissue aggregation of samples, enabling consistent cross-study comparisons. Disease labels from individual studies were harmonized into six categories using a rule-based mapping, which, while necessary for cross-dataset comparison, may obscure clinically meaningful differences within broad categories. Three CD3 healthy subjects were excluded due to potential COVID-19 exposure confounding; the HC1 pre-pandemic cohort (n=6) was used as the healthy baseline instead. The restriction to peripheral blood samples provides a consistent tissue context but does not capture tissue-resident B-cell populations.</w:t>
      </w:r>
    </w:p>
    <w:p>
      <w:pPr>
        <w:spacing w:after="120" w:line="360"/>
        <w:jc w:val="both"/>
      </w:pPr>
      <w:r>
        <w:rPr>
          <w:rFonts w:ascii="Times New Roman" w:cs="Times New Roman" w:eastAsia="Times New Roman" w:hAnsi="Times New Roman"/>
          <w:sz w:val="24"/>
          <w:szCs w:val="24"/>
        </w:rPr>
        <w:t xml:space="preserve">Several limitations should be noted. First, sample sizes within some subgroups (Healthy n=6, COVID Naive n=8, Moderate n=9) are small. Second, clone size data was available for only 96 of 103 subjects (seven CD1 Severe subjects were absent from the API response). Third, the datasets were generated using different sequencing protocols and bioinformatics pipelines, which may introduce batch effects. Fourth, disease category confounds with study of origin, which is an important consideration for all cross-study comparisons.</w:t>
      </w:r>
    </w:p>
    <w:p>
      <w:r>
        <w:br w:type="page"/>
      </w:r>
    </w:p>
    <w:p>
      <w:pPr>
        <w:pStyle w:val="Heading2"/>
        <w:spacing w:after="150" w:before="300"/>
      </w:pPr>
      <w:r>
        <w:rPr>
          <w:rFonts w:ascii="Times New Roman" w:cs="Times New Roman" w:eastAsia="Times New Roman" w:hAnsi="Times New Roman"/>
          <w:b/>
          <w:bCs/>
          <w:sz w:val="28"/>
          <w:szCs w:val="28"/>
        </w:rPr>
        <w:t xml:space="preserve">9. Discussion</w:t>
      </w:r>
    </w:p>
    <w:p>
      <w:pPr>
        <w:spacing w:after="120" w:line="360"/>
        <w:jc w:val="both"/>
      </w:pPr>
      <w:r>
        <w:rPr>
          <w:rFonts w:ascii="Times New Roman" w:cs="Times New Roman" w:eastAsia="Times New Roman" w:hAnsi="Times New Roman"/>
          <w:sz w:val="24"/>
          <w:szCs w:val="24"/>
        </w:rPr>
        <w:t xml:space="preserve">This study presents a comprehensive clonal analysis of B-cell receptor repertoires across COVID-19 disease severities, leveraging the iReceptor Statistics API (v0.3.0) to aggregate and analyze data from seven independent datasets comprising 103 subjects. By examining multiple complementary dimensions of clonal architecture—clone size, diversity, dominance, CDR3 length, somatic hypermutation, region-specific mutation, and R/S ratios—we reveal distinct immunological signatures associated with different stages and outcomes of SARS-CoV-2 infection.</w:t>
      </w:r>
    </w:p>
    <w:p>
      <w:pPr>
        <w:pStyle w:val="Heading3"/>
        <w:spacing w:after="150" w:before="300"/>
      </w:pPr>
      <w:r>
        <w:rPr>
          <w:rFonts w:ascii="Times New Roman" w:cs="Times New Roman" w:eastAsia="Times New Roman" w:hAnsi="Times New Roman"/>
          <w:b/>
          <w:bCs/>
          <w:sz w:val="26"/>
          <w:szCs w:val="26"/>
        </w:rPr>
        <w:t xml:space="preserve">9.1 Distinct Clonal Architectures Across Disease States</w:t>
      </w:r>
    </w:p>
    <w:p>
      <w:pPr>
        <w:spacing w:after="120" w:line="360"/>
        <w:jc w:val="both"/>
      </w:pPr>
      <w:r>
        <w:rPr>
          <w:rFonts w:ascii="Times New Roman" w:cs="Times New Roman" w:eastAsia="Times New Roman" w:hAnsi="Times New Roman"/>
          <w:sz w:val="24"/>
          <w:szCs w:val="24"/>
        </w:rPr>
        <w:t xml:space="preserve">Our findings reveal that the clonal landscape of the B-cell repertoire undergoes characteristic remodeling during and after SARS-CoV-2 infection. Subjects with active disease (Severe and Moderate) exhibited moderate clonal diversity but high clonal dominance, with a small number of clones capturing a disproportionate fraction of the repertoire. This pattern is consistent with antigen-driven clonal selection during acute infection, where B cells recognizing viral epitopes undergo rapid expansion at the expense of overall repertoire diversity. In contrast, Recovered and COVID Naive subjects displayed markedly higher clone counts (medians of 21,526 and 16,682, respectively) with lower Top 10 dominance, reflecting a more diversified repertoire shaped by completed or pre-existing immune responses.</w:t>
      </w:r>
    </w:p>
    <w:p>
      <w:pPr>
        <w:spacing w:after="120" w:line="360"/>
        <w:jc w:val="both"/>
      </w:pPr>
      <w:r>
        <w:rPr>
          <w:rFonts w:ascii="Times New Roman" w:cs="Times New Roman" w:eastAsia="Times New Roman" w:hAnsi="Times New Roman"/>
          <w:sz w:val="24"/>
          <w:szCs w:val="24"/>
        </w:rPr>
        <w:t xml:space="preserve">The Healthy group presented a distinctive profile: low median clone counts (1,707) but extremely high Top 1000 concentration (99.3%), indicating that in the absence of active infection, the repertoire is compact and dominated by a limited set of expanded clones. The high variability in this group (clone count range 650–61,136) likely reflects heterogeneous prior immune histories among healthy donors.</w:t>
      </w:r>
    </w:p>
    <w:p>
      <w:pPr>
        <w:pStyle w:val="Heading3"/>
        <w:spacing w:after="150" w:before="300"/>
      </w:pPr>
      <w:r>
        <w:rPr>
          <w:rFonts w:ascii="Times New Roman" w:cs="Times New Roman" w:eastAsia="Times New Roman" w:hAnsi="Times New Roman"/>
          <w:b/>
          <w:bCs/>
          <w:sz w:val="26"/>
          <w:szCs w:val="26"/>
        </w:rPr>
        <w:t xml:space="preserve">9.2 CDR3 Length as a Severity-Associated Feature</w:t>
      </w:r>
    </w:p>
    <w:p>
      <w:pPr>
        <w:spacing w:after="120" w:line="360"/>
        <w:jc w:val="both"/>
      </w:pPr>
      <w:r>
        <w:rPr>
          <w:rFonts w:ascii="Times New Roman" w:cs="Times New Roman" w:eastAsia="Times New Roman" w:hAnsi="Times New Roman"/>
          <w:sz w:val="24"/>
          <w:szCs w:val="24"/>
        </w:rPr>
        <w:t xml:space="preserve">The observation that Severe subjects had the longest CDR3 regions in their top expanded clones (median 17.7 AA for Top 10) while Healthy subjects had the shortest (13.8 AA) suggests that CDR3 length is a feature under selection during severe COVID-19. Longer CDR3 loops provide greater structural diversity for antigen recognition and can form extended binding surfaces capable of accessing recessed or complex epitopes on viral proteins. The progressive attenuation of this CDR3 length difference in larger clone sets (Top 100, Top 1000) indicates that the selection pressure favoring longer CDR3 loops operates most strongly on the handful of most dominant clones, rather than shaping the entire repertoire.</w:t>
      </w:r>
    </w:p>
    <w:p>
      <w:pPr>
        <w:pStyle w:val="Heading3"/>
        <w:spacing w:after="150" w:before="300"/>
      </w:pPr>
      <w:r>
        <w:rPr>
          <w:rFonts w:ascii="Times New Roman" w:cs="Times New Roman" w:eastAsia="Times New Roman" w:hAnsi="Times New Roman"/>
          <w:b/>
          <w:bCs/>
          <w:sz w:val="26"/>
          <w:szCs w:val="26"/>
        </w:rPr>
        <w:t xml:space="preserve">9.3 Somatic Hypermutation and Affinity Maturation</w:t>
      </w:r>
    </w:p>
    <w:p>
      <w:pPr>
        <w:spacing w:after="120" w:line="360"/>
        <w:jc w:val="both"/>
      </w:pPr>
      <w:r>
        <w:rPr>
          <w:rFonts w:ascii="Times New Roman" w:cs="Times New Roman" w:eastAsia="Times New Roman" w:hAnsi="Times New Roman"/>
          <w:sz w:val="24"/>
          <w:szCs w:val="24"/>
        </w:rPr>
        <w:t xml:space="preserve">The mutation analysis provides insight into the maturation state of expanded clones across disease categories. The markedly elevated mutation levels in COVID Naive (median 119.0 for Top 10) and Recovered (107.0) subjects suggest that these groups harbor clones that have undergone extensive affinity maturation through iterative germinal center reactions. For COVID Naive subjects, the high mutation burden likely reflects memory B cells from prior coronavirus exposures or other infections. For Recovered subjects, it indicates successful completion of the germinal center response following SARS-CoV-2 infection.</w:t>
      </w:r>
    </w:p>
    <w:p>
      <w:pPr>
        <w:spacing w:after="120" w:line="360"/>
        <w:jc w:val="both"/>
      </w:pPr>
      <w:r>
        <w:rPr>
          <w:rFonts w:ascii="Times New Roman" w:cs="Times New Roman" w:eastAsia="Times New Roman" w:hAnsi="Times New Roman"/>
          <w:sz w:val="24"/>
          <w:szCs w:val="24"/>
        </w:rPr>
        <w:t xml:space="preserve">The relatively lower mutation levels in Mild (48.6) and Severe (80.2) subjects during active disease may reflect the contribution of newly recruited, less-mutated B cells to the expanded clone pool. In severe disease, the immune response may rely more heavily on extrafollicular B-cell activation pathways that bypass germinal centers and produce less-mutated antibodies. The steep intra-subject gradient between Top 10 and Top 1000 mutation levels—most pronounced in COVID Naive subjects (119.0 vs. 27.3)—demonstrates that the most dominant clones are preferentially drawn from the highly mutated, affinity-matured compartment.</w:t>
      </w:r>
    </w:p>
    <w:p>
      <w:pPr>
        <w:pStyle w:val="Heading3"/>
        <w:spacing w:after="150" w:before="300"/>
      </w:pPr>
      <w:r>
        <w:rPr>
          <w:rFonts w:ascii="Times New Roman" w:cs="Times New Roman" w:eastAsia="Times New Roman" w:hAnsi="Times New Roman"/>
          <w:b/>
          <w:bCs/>
          <w:sz w:val="26"/>
          <w:szCs w:val="26"/>
        </w:rPr>
        <w:t xml:space="preserve">9.4 Region-Specific Mutation and Selection Pressure</w:t>
      </w:r>
    </w:p>
    <w:p>
      <w:pPr>
        <w:spacing w:after="120" w:line="360"/>
        <w:jc w:val="both"/>
      </w:pPr>
      <w:r>
        <w:rPr>
          <w:rFonts w:ascii="Times New Roman" w:cs="Times New Roman" w:eastAsia="Times New Roman" w:hAnsi="Times New Roman"/>
          <w:sz w:val="24"/>
          <w:szCs w:val="24"/>
        </w:rPr>
        <w:t xml:space="preserve">The analysis of CDR vs. FW mutation distribution and R/S ratios adds a new dimension to our understanding of selection pressure across disease states. The uniformly elevated CDR R/S ratios (1.98–3.18) across all disease categories confirm that antigen-driven positive selection is active in CDR regions regardless of disease severity. However, the variation in CDR-to-FW mutation ratios across groups reveals differences in the nature of selection. Recovered subjects' high CDR/FW ratio (0.600) suggests that a greater proportion of their total mutations are concentrated in antigen-binding regions, consistent with a mature, antigen-selected repertoire. Moderate subjects' low CDR/FW ratio (0.209) and lowest CDR R/S (1.98) may indicate that selection has not yet fully shaped the repertoire in these patients, who were in the early phase of disease.</w:t>
      </w:r>
    </w:p>
    <w:p>
      <w:pPr>
        <w:pStyle w:val="Heading3"/>
        <w:spacing w:after="150" w:before="300"/>
      </w:pPr>
      <w:r>
        <w:rPr>
          <w:rFonts w:ascii="Times New Roman" w:cs="Times New Roman" w:eastAsia="Times New Roman" w:hAnsi="Times New Roman"/>
          <w:b/>
          <w:bCs/>
          <w:sz w:val="26"/>
          <w:szCs w:val="26"/>
        </w:rPr>
        <w:t xml:space="preserve">9.5 Integration of Clonal Features</w:t>
      </w:r>
    </w:p>
    <w:p>
      <w:pPr>
        <w:spacing w:after="120" w:line="360"/>
        <w:jc w:val="both"/>
      </w:pPr>
      <w:r>
        <w:rPr>
          <w:rFonts w:ascii="Times New Roman" w:cs="Times New Roman" w:eastAsia="Times New Roman" w:hAnsi="Times New Roman"/>
          <w:sz w:val="24"/>
          <w:szCs w:val="24"/>
        </w:rPr>
        <w:t xml:space="preserve">Considered together, the seven clonal dimensions paint a coherent picture of repertoire dynamics during COVID-19. Severe disease is characterized by moderate diversity, high clonal dominance, long CDR3 regions, and intermediate mutation levels—a profile consistent with an active, antigen-driven response recruiting both newly activated and partially matured B cells. Mild disease shows a more restricted repertoire (lowest diversity, fewest expanded clones) with lower dominance and mutation levels but the highest CDR R/S ratio, suggesting efficient but narrow selection. Recovered subjects exhibit the hallmarks of a completed immune response: high diversity, moderate dominance, elevated mutation levels, and the highest CDR/FW ratio. COVID Naive subjects show the highest mutation burden, most expanded clones, and steepest mutation gradient, consistent with a well-established memory compartment from prior exposures.</w:t>
      </w:r>
    </w:p>
    <w:p>
      <w:pPr>
        <w:pStyle w:val="Heading3"/>
        <w:spacing w:after="150" w:before="300"/>
      </w:pPr>
      <w:r>
        <w:rPr>
          <w:rFonts w:ascii="Times New Roman" w:cs="Times New Roman" w:eastAsia="Times New Roman" w:hAnsi="Times New Roman"/>
          <w:b/>
          <w:bCs/>
          <w:sz w:val="26"/>
          <w:szCs w:val="26"/>
        </w:rPr>
        <w:t xml:space="preserve">9.6 Conclusions</w:t>
      </w:r>
    </w:p>
    <w:p>
      <w:pPr>
        <w:spacing w:after="120" w:line="360"/>
        <w:jc w:val="both"/>
      </w:pPr>
      <w:r>
        <w:rPr>
          <w:rFonts w:ascii="Times New Roman" w:cs="Times New Roman" w:eastAsia="Times New Roman" w:hAnsi="Times New Roman"/>
          <w:sz w:val="24"/>
          <w:szCs w:val="24"/>
        </w:rPr>
        <w:t xml:space="preserve">In conclusion, our multi-dimensional clonal analysis reveals disease severity-associated signatures in the B-cell receptor repertoire during COVID-19. Severe disease is characterized by high clonal dominance with long CDR3 regions and intermediate mutation levels, while recovery is associated with high diversity and extensively mutated clones with strong antigen-driven selection. The addition of region-specific mutation and R/S ratio analyses provides direct evidence of positive selection in CDR regions across all disease states, with the intensity and maturity of selection varying by disease category. The iReceptor Statistics API framework enables standardized cross-study comparisons that could be extended to other infectious diseases and vaccine responses, providing a scalable approach to immune repertoire profiling in multi-center studies.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dc4d560c930e4c2061e6509783d4de1466b5fb.png"/><Relationship Id="rId8" Type="http://schemas.openxmlformats.org/officeDocument/2006/relationships/image" Target="media/db343519afc8c442a62794dd282253cf45618ccd.png"/><Relationship Id="rId9" Type="http://schemas.openxmlformats.org/officeDocument/2006/relationships/image" Target="media/1bc7c1722e36572ec86e6f5ae93a4fa74573ef03.png"/><Relationship Id="rId10" Type="http://schemas.openxmlformats.org/officeDocument/2006/relationships/image" Target="media/b31fc99a56cda822baddd6be045a7b24fc2accd7.png"/><Relationship Id="rId11" Type="http://schemas.openxmlformats.org/officeDocument/2006/relationships/image" Target="media/551f9748ca05e0c5fc8196cb29d9d601550299bd.png"/><Relationship Id="rId12" Type="http://schemas.openxmlformats.org/officeDocument/2006/relationships/image" Target="media/a2dbcd7042151868549d1cf3ac980ede491f7156.png"/><Relationship Id="rId13" Type="http://schemas.openxmlformats.org/officeDocument/2006/relationships/image" Target="media/a53d6712e31f3b6a4354a732cace3c8d30c128ac.png"/><Relationship Id="rId14" Type="http://schemas.openxmlformats.org/officeDocument/2006/relationships/image" Target="media/095ee30b96154e475429cb793b4bffb6c5fb0667.png"/><Relationship Id="rId15" Type="http://schemas.openxmlformats.org/officeDocument/2006/relationships/image" Target="media/b9278179fd1e504c681cb700edeebcdb25eaa887.png"/><Relationship Id="rId16" Type="http://schemas.openxmlformats.org/officeDocument/2006/relationships/image" Target="media/e3f22b074972fe794ae91acaaa914962c5dd8092.png"/><Relationship Id="rId17" Type="http://schemas.openxmlformats.org/officeDocument/2006/relationships/image" Target="media/7e19f916936775d4322d163303d5958a07fd6a0b.png"/><Relationship Id="rId18" Type="http://schemas.openxmlformats.org/officeDocument/2006/relationships/image" Target="media/d5a225bea707bfcd771027d13eb5379c514ac1ad.png"/><Relationship Id="rId19" Type="http://schemas.openxmlformats.org/officeDocument/2006/relationships/image" Target="media/81d971acb6a30256c3584e8314555c2f9f989e27.png"/><Relationship Id="rId20" Type="http://schemas.openxmlformats.org/officeDocument/2006/relationships/image" Target="media/3758b8a346f9e2dd9c849e323fa899d5908d14fe.png"/><Relationship Id="rId21" Type="http://schemas.openxmlformats.org/officeDocument/2006/relationships/image" Target="media/74d0ac97160eb93296bf85897b214a449aa58f2e.png"/><Relationship Id="rId22" Type="http://schemas.openxmlformats.org/officeDocument/2006/relationships/image" Target="media/d7f9c847d2cef212e233785191ab996134e020e8.png"/><Relationship Id="rId23" Type="http://schemas.openxmlformats.org/officeDocument/2006/relationships/image" Target="media/899843be69c6ad36cce06c3c1ca234ff0251e70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2026-08-08T15:49:14.127Z</dcterms:created>
  <dcterms:modified xsi:type="dcterms:W3CDTF">2026-08-08T15:49:14.136Z</dcterms:modified>
</cp:coreProperties>
</file>

<file path=docProps/custom.xml><?xml version="1.0" encoding="utf-8"?>
<Properties xmlns="http://schemas.openxmlformats.org/officeDocument/2006/custom-properties" xmlns:vt="http://schemas.openxmlformats.org/officeDocument/2006/docPropsVTypes"/>
</file>