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3"/>
    <w:bookmarkStart w:id="24"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w:t>
      </w:r>
      <w:r>
        <w:t xml:space="preserve"> </w:t>
      </w:r>
      <w:r>
        <w:t xml:space="preserve">[@Paul2013]</w:t>
      </w:r>
      <w:r>
        <w:t xml:space="preserve">. During development in the bone marrow, B cells undergo rearrangement of Variable (V), Diversity (D), and Joining (J) gene segments to create a wide diversity of B cell receptors (BCRs). According to the clonal selection theory</w:t>
      </w:r>
      <w:r>
        <w:t xml:space="preserve"> </w:t>
      </w:r>
      <w:r>
        <w:t xml:space="preserve">[@Burnet1957]</w:t>
      </w:r>
      <w:r>
        <w:t xml:space="preserve">, all receptors expressed by the same B cell share the same unique antigen-binding site. During an immune response, B cells undergo rapid cycles of proliferation and targeted somatic hypermutation (SHM) in both heavy (H) chain and light (L) chain variable region genes</w:t>
      </w:r>
      <w:r>
        <w:t xml:space="preserve"> </w:t>
      </w:r>
      <w:r>
        <w:t xml:space="preserve">[@DiNoia2007]</w:t>
      </w:r>
      <w:r>
        <w:t xml:space="preserve">.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w:t>
      </w:r>
      <w:r>
        <w:t xml:space="preserve"> </w:t>
      </w:r>
      <w:r>
        <w:t xml:space="preserve">[@Schwartz2013; @Hershberg2015]</w:t>
      </w:r>
      <w:r>
        <w:t xml:space="preserve">.</w:t>
      </w:r>
    </w:p>
    <w:p>
      <w:pPr>
        <w:pStyle w:val="BodyText"/>
      </w:pPr>
      <w:r>
        <w:t xml:space="preserve">The diversity of the immune repertoire is extremely high, with an estimated 10^11 different BCRs existing in a single individual</w:t>
      </w:r>
      <w:r>
        <w:t xml:space="preserve"> </w:t>
      </w:r>
      <w:r>
        <w:t xml:space="preserve">[@Briney2019]</w:t>
      </w:r>
      <w:r>
        <w:t xml:space="preserve">. While it is clear that the diversity of the immune system is fundamental to its function</w:t>
      </w:r>
      <w:r>
        <w:t xml:space="preserve"> </w:t>
      </w:r>
      <w:r>
        <w:t xml:space="preserve">[@Paul2013]</w:t>
      </w:r>
      <w:r>
        <w:t xml:space="preserve">, the actual forms that immune repertoire diversity takes, in health and disease, have not been fully characterized</w:t>
      </w:r>
      <w:r>
        <w:t xml:space="preserve"> </w:t>
      </w:r>
      <w:r>
        <w:t xml:space="preserve">[@Schwartz2013]</w:t>
      </w:r>
      <w:r>
        <w:t xml:space="preserve">. Analyzing B cell repertoires helps understand how the immune system responds to infections, vaccinations, and diseases including cancer and autoimmune disorders</w:t>
      </w:r>
      <w:r>
        <w:t xml:space="preserve"> </w:t>
      </w:r>
      <w:r>
        <w:t xml:space="preserve">[@Yuuki2024]</w:t>
      </w:r>
      <w:r>
        <w:t xml:space="preserve">. Insights from repertoire studies guide the design of more effective vaccines by identifying specific mutations and the structural features of reactive antibody regions</w:t>
      </w:r>
      <w:r>
        <w:t xml:space="preserve"> </w:t>
      </w:r>
      <w:r>
        <w:t xml:space="preserve">[@Victora2012]</w:t>
      </w:r>
      <w:r>
        <w:t xml:space="preserve">. Additionally, tracking B cell repertoire changes and identifying characteristic patterns can be used for disease diagnosis, monitoring disease progression, predicting severity, and tailoring personalized treatments</w:t>
      </w:r>
      <w:r>
        <w:t xml:space="preserve"> </w:t>
      </w:r>
      <w:r>
        <w:t xml:space="preserve">[@Kim2019]</w:t>
      </w:r>
      <w:r>
        <w:t xml:space="preserve">.</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w:t>
      </w:r>
      <w:r>
        <w:t xml:space="preserve"> </w:t>
      </w:r>
      <w:r>
        <w:t xml:space="preserve">[@Xu2000]</w:t>
      </w:r>
      <w:r>
        <w:t xml:space="preserve">. The length and amino acid composition of the CDR3 loop directly influence the range of antigens an antibody can recognize</w:t>
      </w:r>
      <w:r>
        <w:t xml:space="preserve"> </w:t>
      </w:r>
      <w:r>
        <w:t xml:space="preserve">[@Saada2007]</w:t>
      </w:r>
      <w:r>
        <w:t xml:space="preserve">.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w:t>
      </w:r>
      <w:r>
        <w:t xml:space="preserve"> </w:t>
      </w:r>
      <w:r>
        <w:t xml:space="preserve">[@Hershberg2008; @Yaari2015]</w:t>
      </w:r>
      <w:r>
        <w:t xml:space="preserve">.</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w:t>
      </w:r>
      <w:r>
        <w:t xml:space="preserve"> </w:t>
      </w:r>
      <w:r>
        <w:t xml:space="preserve">[@Kim2019]</w:t>
      </w:r>
      <w:r>
        <w:t xml:space="preserve">. High-throughput BCR repertoire sequencing was first described by Glanville et al. in 2009</w:t>
      </w:r>
      <w:r>
        <w:t xml:space="preserve"> </w:t>
      </w:r>
      <w:r>
        <w:t xml:space="preserve">[@Glanville2009]</w:t>
      </w:r>
      <w:r>
        <w:t xml:space="preserve">, and since then the volume of available data has increased exponentially</w:t>
      </w:r>
      <w:r>
        <w:t xml:space="preserve"> </w:t>
      </w:r>
      <w:r>
        <w:t xml:space="preserve">[@Marks2020]</w:t>
      </w:r>
      <w:r>
        <w:t xml:space="preserve">. Recently, significant efforts have been made to move beyond the model where most AIRR-seq data are stored and curated by individual laboratories</w:t>
      </w:r>
      <w:r>
        <w:t xml:space="preserve"> </w:t>
      </w:r>
      <w:r>
        <w:t xml:space="preserve">[@Corrie2018; @iReceptor]</w:t>
      </w:r>
      <w:r>
        <w:t xml:space="preserve">.</w:t>
      </w:r>
    </w:p>
    <w:p>
      <w:pPr>
        <w:pStyle w:val="BodyText"/>
      </w:pPr>
      <w:r>
        <w:t xml:space="preserve">A variety of tools, software platforms, and algorithms have been developed to store and analyze sequencing data</w:t>
      </w:r>
      <w:r>
        <w:t xml:space="preserve"> </w:t>
      </w:r>
      <w:r>
        <w:t xml:space="preserve">[@Guo2019; @Olsen2022]</w:t>
      </w:r>
      <w:r>
        <w:t xml:space="preserve">.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w:t>
      </w:r>
      <w:r>
        <w:t xml:space="preserve"> </w:t>
      </w:r>
      <w:r>
        <w:t xml:space="preserve">[@iReceptor]</w:t>
      </w:r>
      <w:r>
        <w:t xml:space="preserve"> </w:t>
      </w:r>
      <w:r>
        <w:t xml:space="preserve">—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w:t>
      </w:r>
      <w:r>
        <w:t xml:space="preserve"> </w:t>
      </w:r>
      <w:r>
        <w:t xml:space="preserve">[@VanderHeiden2018]</w:t>
      </w:r>
      <w:r>
        <w:t xml:space="preserve">.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w:t>
      </w:r>
      <w:r>
        <w:t xml:space="preserve"> </w:t>
      </w:r>
      <w:r>
        <w:t xml:space="preserve">[@Corrie2018]</w:t>
      </w:r>
      <w:r>
        <w:t xml:space="preserve">,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w:t>
      </w:r>
      <w:r>
        <w:t xml:space="preserve"> </w:t>
      </w:r>
      <w:r>
        <w:t xml:space="preserve">[@Gupta2015]</w:t>
      </w:r>
      <w:r>
        <w:t xml:space="preserve"> </w:t>
      </w:r>
      <w:r>
        <w:t xml:space="preserve">provides sophisticated packages for defining and analyzing clones and building lineage trees. MiXCR</w:t>
      </w:r>
      <w:r>
        <w:t xml:space="preserve"> </w:t>
      </w:r>
      <w:r>
        <w:t xml:space="preserve">[@Bolotin2015]</w:t>
      </w:r>
      <w:r>
        <w:t xml:space="preserve"> </w:t>
      </w:r>
      <w:r>
        <w:t xml:space="preserve">offers comprehensive adaptive immunity profiling from raw sequences. IgBLAST</w:t>
      </w:r>
      <w:r>
        <w:t xml:space="preserve"> </w:t>
      </w:r>
      <w:r>
        <w:t xml:space="preserve">[@Ye2013]</w:t>
      </w:r>
      <w:r>
        <w:t xml:space="preserve"> </w:t>
      </w:r>
      <w:r>
        <w:t xml:space="preserve">enables immunoglobulin variable domain sequence analysis. More recently, nf-core/airrflow</w:t>
      </w:r>
      <w:r>
        <w:t xml:space="preserve"> </w:t>
      </w:r>
      <w:r>
        <w:t xml:space="preserve">[@airrflow]</w:t>
      </w:r>
      <w:r>
        <w:t xml:space="preserve"> </w:t>
      </w:r>
      <w:r>
        <w:t xml:space="preserve">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w:t>
      </w:r>
      <w:r>
        <w:t xml:space="preserve"> </w:t>
      </w:r>
      <w:r>
        <w:t xml:space="preserve">[@Rosenfeld2017]</w:t>
      </w:r>
      <w:r>
        <w:t xml:space="preserve">,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w:t>
      </w:r>
      <w:r>
        <w:t xml:space="preserve"> </w:t>
      </w:r>
      <w:r>
        <w:t xml:space="preserve">[@Christley2020]</w:t>
      </w:r>
      <w:r>
        <w:t xml:space="preserve">.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w:t>
      </w:r>
      <w:r>
        <w:t xml:space="preserve"> </w:t>
      </w:r>
      <w:r>
        <w:t xml:space="preserve">[@Hoehn2021]</w:t>
      </w:r>
      <w:r>
        <w:t xml:space="preserve">.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w:t>
      </w:r>
      <w:r>
        <w:t xml:space="preserve"> </w:t>
      </w:r>
      <w:r>
        <w:t xml:space="preserve">[@Hoehn2021; @Galson2020; @Nielsen2020]</w:t>
      </w:r>
      <w:r>
        <w:t xml:space="preserve">.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w:t>
      </w:r>
      <w:r>
        <w:t xml:space="preserve"> </w:t>
      </w:r>
      <w:r>
        <w:t xml:space="preserve">[@Rubelt2017]</w:t>
      </w:r>
      <w:r>
        <w:t xml:space="preserve"> </w:t>
      </w:r>
      <w:r>
        <w:t xml:space="preserve">while allowing flexibility for experiment-specific fields. Each study was processed through the ImmuneDB pipeline — annotated with IgBLAST</w:t>
      </w:r>
      <w:r>
        <w:t xml:space="preserve"> </w:t>
      </w:r>
      <w:r>
        <w:t xml:space="preserve">[@Ye2013]</w:t>
      </w:r>
      <w:r>
        <w:t xml:space="preserve"> </w:t>
      </w:r>
      <w:r>
        <w:t xml:space="preserve">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numPr>
          <w:ilvl w:val="0"/>
          <w:numId w:val="1003"/>
        </w:numPr>
        <w:pStyle w:val="Compact"/>
      </w:pPr>
      <w:r>
        <w:rPr>
          <w:bCs/>
          <w:b/>
        </w:rPr>
        <w:t xml:space="preserve">CD1</w:t>
      </w:r>
      <w:r>
        <w:t xml:space="preserve">: 51 individuals with severe, mild, and moderate COVID-19 from multiple hospital cohorts [29, 30].</w:t>
      </w:r>
    </w:p>
    <w:p>
      <w:pPr>
        <w:numPr>
          <w:ilvl w:val="0"/>
          <w:numId w:val="1003"/>
        </w:numPr>
        <w:pStyle w:val="Compact"/>
      </w:pPr>
      <w:r>
        <w:rPr>
          <w:bCs/>
          <w:b/>
        </w:rPr>
        <w:t xml:space="preserve">CD2</w:t>
      </w:r>
      <w:r>
        <w:t xml:space="preserve">: 19 individuals including severe, non-severe, recovered, and healthy individuals [31].</w:t>
      </w:r>
    </w:p>
    <w:p>
      <w:pPr>
        <w:numPr>
          <w:ilvl w:val="0"/>
          <w:numId w:val="1003"/>
        </w:numPr>
        <w:pStyle w:val="Compact"/>
      </w:pPr>
      <w:r>
        <w:rPr>
          <w:bCs/>
          <w:b/>
        </w:rPr>
        <w:t xml:space="preserve">CD3</w:t>
      </w:r>
      <w:r>
        <w:t xml:space="preserve">: 13 individuals with severe COVID-19 and healthy controls [32].</w:t>
      </w:r>
    </w:p>
    <w:p>
      <w:pPr>
        <w:numPr>
          <w:ilvl w:val="0"/>
          <w:numId w:val="1003"/>
        </w:numPr>
        <w:pStyle w:val="Compact"/>
      </w:pPr>
      <w:r>
        <w:rPr>
          <w:bCs/>
          <w:b/>
        </w:rPr>
        <w:t xml:space="preserve">CVX1</w:t>
      </w:r>
      <w:r>
        <w:t xml:space="preserve">: 12 individuals from a COVID-19 mRNA vaccine study, including COVID-recovered vaccinees and COVID-naive vaccinees [33].</w:t>
      </w:r>
    </w:p>
    <w:p>
      <w:pPr>
        <w:numPr>
          <w:ilvl w:val="0"/>
          <w:numId w:val="1003"/>
        </w:numPr>
        <w:pStyle w:val="Compact"/>
      </w:pPr>
      <w:r>
        <w:rPr>
          <w:bCs/>
          <w:b/>
        </w:rPr>
        <w:t xml:space="preserve">CVX2</w:t>
      </w:r>
      <w:r>
        <w:t xml:space="preserve">: 5 individuals from a second vaccine cohort with recovered individuals.</w:t>
      </w:r>
    </w:p>
    <w:p>
      <w:pPr>
        <w:numPr>
          <w:ilvl w:val="0"/>
          <w:numId w:val="1003"/>
        </w:numPr>
        <w:pStyle w:val="Compact"/>
      </w:pPr>
      <w:r>
        <w:rPr>
          <w:bCs/>
          <w:b/>
        </w:rPr>
        <w:t xml:space="preserve">HC1</w:t>
      </w:r>
      <w:r>
        <w:t xml:space="preserve">: 6 healthy control individuals (deceased organ donors) with no history of COVID-19 or vaccination [34].</w:t>
      </w:r>
    </w:p>
    <w:p>
      <w:pPr>
        <w:numPr>
          <w:ilvl w:val="0"/>
          <w:numId w:val="1003"/>
        </w:numPr>
        <w:pStyle w:val="Compact"/>
      </w:pPr>
      <w:r>
        <w:rPr>
          <w:bCs/>
          <w:b/>
        </w:rPr>
        <w:t xml:space="preserve">GT1</w:t>
      </w:r>
      <w:r>
        <w:t xml:space="preserve">: 7 pediatric gut transplant recipients [47].</w:t>
      </w:r>
    </w:p>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4"/>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4"/>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4"/>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4"/>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4"/>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4"/>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4"/>
    <w:bookmarkStart w:id="3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BodyText"/>
      </w:pPr>
      <w:r>
        <w:t xml:space="preserve">All endpoints are designed as POST requests. The request body contains two objects in JSON format:</w:t>
      </w:r>
    </w:p>
    <w:p>
      <w:pPr>
        <w:numPr>
          <w:ilvl w:val="0"/>
          <w:numId w:val="1005"/>
        </w:numPr>
        <w:pStyle w:val="Compact"/>
      </w:pPr>
      <w:r>
        <w:rPr>
          <w:bCs/>
          <w:b/>
        </w:rPr>
        <w:t xml:space="preserve">repertoires</w:t>
      </w:r>
      <w:r>
        <w:t xml:space="preserve">: specifies the metadata filters (e.g., disease_stage, tissue, sex, age)</w:t>
      </w:r>
    </w:p>
    <w:p>
      <w:pPr>
        <w:numPr>
          <w:ilvl w:val="0"/>
          <w:numId w:val="1005"/>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6"/>
        </w:numPr>
        <w:pStyle w:val="Compact"/>
      </w:pPr>
      <w:r>
        <w:rPr>
          <w:bCs/>
          <w:b/>
        </w:rPr>
        <w:t xml:space="preserve">Info</w:t>
      </w:r>
      <w:r>
        <w:t xml:space="preserve">: project information (title, version, contacts)</w:t>
      </w:r>
    </w:p>
    <w:p>
      <w:pPr>
        <w:numPr>
          <w:ilvl w:val="0"/>
          <w:numId w:val="1006"/>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35"/>
    <w:bookmarkStart w:id="3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7"/>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7"/>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7"/>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8"/>
        </w:numPr>
        <w:pStyle w:val="Compact"/>
      </w:pPr>
      <w:r>
        <w:rPr>
          <w:iCs/>
          <w:i/>
        </w:rPr>
        <w:t xml:space="preserve">topX_mutation_level</w:t>
      </w:r>
      <w:r>
        <w:t xml:space="preserve">: Average mutation count across the top clones per individual.</w:t>
      </w:r>
    </w:p>
    <w:p>
      <w:pPr>
        <w:numPr>
          <w:ilvl w:val="0"/>
          <w:numId w:val="1008"/>
        </w:numPr>
        <w:pStyle w:val="Compact"/>
      </w:pPr>
      <w:r>
        <w:rPr>
          <w:iCs/>
          <w:i/>
        </w:rPr>
        <w:t xml:space="preserve">mutation_by_region</w:t>
      </w:r>
      <w:r>
        <w:t xml:space="preserve">: Mutation counts split by CDR versus framework regions.</w:t>
      </w:r>
    </w:p>
    <w:p>
      <w:pPr>
        <w:numPr>
          <w:ilvl w:val="0"/>
          <w:numId w:val="1008"/>
        </w:numPr>
        <w:pStyle w:val="Compact"/>
      </w:pPr>
      <w:r>
        <w:rPr>
          <w:iCs/>
          <w:i/>
        </w:rPr>
        <w:t xml:space="preserve">mutation_by_type</w:t>
      </w:r>
      <w:r>
        <w:t xml:space="preserve">: Replacement versus silent mutation counts.</w:t>
      </w:r>
    </w:p>
    <w:p>
      <w:pPr>
        <w:numPr>
          <w:ilvl w:val="0"/>
          <w:numId w:val="1008"/>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9"/>
        </w:numPr>
        <w:pStyle w:val="Compact"/>
      </w:pPr>
      <w:r>
        <w:rPr>
          <w:iCs/>
          <w:i/>
        </w:rPr>
        <w:t xml:space="preserve">topX_nt_AVG_CDR3_length</w:t>
      </w:r>
      <w:r>
        <w:t xml:space="preserve">: Average CDR3 nucleotide length for the top 10, 100, and 1000 clones per individual.</w:t>
      </w:r>
    </w:p>
    <w:p>
      <w:pPr>
        <w:numPr>
          <w:ilvl w:val="0"/>
          <w:numId w:val="1009"/>
        </w:numPr>
        <w:pStyle w:val="Compact"/>
      </w:pPr>
      <w:r>
        <w:rPr>
          <w:iCs/>
          <w:i/>
        </w:rPr>
        <w:t xml:space="preserve">topX_AA_AVG_CDR3_length</w:t>
      </w:r>
      <w:r>
        <w:t xml:space="preserve">: Average CDR3 amino acid length for the top 10, 100, and 1000 clones per individual.</w:t>
      </w:r>
    </w:p>
    <w:p>
      <w:pPr>
        <w:numPr>
          <w:ilvl w:val="0"/>
          <w:numId w:val="1009"/>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10"/>
        </w:numPr>
        <w:pStyle w:val="Compact"/>
      </w:pPr>
      <w:r>
        <w:rPr>
          <w:iCs/>
          <w:i/>
        </w:rPr>
        <w:t xml:space="preserve">v_gene_usage</w:t>
      </w:r>
      <w:r>
        <w:t xml:space="preserve">: Clone count and total copies per V gene per individual.</w:t>
      </w:r>
    </w:p>
    <w:bookmarkEnd w:id="36"/>
    <w:bookmarkStart w:id="3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1"/>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w:t>
      </w:r>
      <w:r>
        <w:t xml:space="preserve"> </w:t>
      </w:r>
      <w:r>
        <w:t xml:space="preserve">[@Tuomisto2010; @Schwartz2013b]</w:t>
      </w:r>
      <w:r>
        <w:t xml:space="preserve">.</w:t>
      </w:r>
    </w:p>
    <w:p>
      <w:pPr>
        <w:numPr>
          <w:ilvl w:val="0"/>
          <w:numId w:val="1011"/>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1"/>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w:t>
      </w:r>
      <w:r>
        <w:t xml:space="preserve"> </w:t>
      </w:r>
      <w:r>
        <w:t xml:space="preserve">[@Hershberg2008]</w:t>
      </w:r>
      <w:r>
        <w:t xml:space="preserve">.</w:t>
      </w:r>
    </w:p>
    <w:p>
      <w:pPr>
        <w:numPr>
          <w:ilvl w:val="0"/>
          <w:numId w:val="1011"/>
        </w:numPr>
      </w:pPr>
      <w:r>
        <w:rPr>
          <w:bCs/>
          <w:b/>
        </w:rPr>
        <w:t xml:space="preserve">CDR3 length</w:t>
      </w:r>
      <w:r>
        <w:t xml:space="preserve">: Mean and standard deviation of CDR3 amino acid length across all clones per individual.</w:t>
      </w:r>
    </w:p>
    <w:p>
      <w:pPr>
        <w:numPr>
          <w:ilvl w:val="0"/>
          <w:numId w:val="1011"/>
        </w:numPr>
      </w:pPr>
      <w:r>
        <w:rPr>
          <w:bCs/>
          <w:b/>
        </w:rPr>
        <w:t xml:space="preserve">V gene usage</w:t>
      </w:r>
      <w:r>
        <w:t xml:space="preserve">: Frequency of each V gene across individuals, filtered to V genes present at 1% or higher frequency in at least 85% of individuals.</w:t>
      </w:r>
    </w:p>
    <w:bookmarkEnd w:id="37"/>
    <w:bookmarkStart w:id="3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38"/>
    <w:bookmarkStart w:id="3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39"/>
    <w:bookmarkEnd w:id="40"/>
    <w:bookmarkStart w:id="53" w:name="results"/>
    <w:p>
      <w:pPr>
        <w:pStyle w:val="Heading1"/>
      </w:pPr>
      <w:r>
        <w:t xml:space="preserve">Results</w:t>
      </w:r>
    </w:p>
    <w:bookmarkStart w:id="45"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41"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 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2"/>
        </w:numPr>
        <w:pStyle w:val="Compact"/>
      </w:pPr>
      <w:r>
        <w:t xml:space="preserve">Severe and Mild individuals span a wide age range (20-88 years), while Recovered and COVID Naive individuals tend to be younger (20-50 years).</w:t>
      </w:r>
    </w:p>
    <w:p>
      <w:pPr>
        <w:numPr>
          <w:ilvl w:val="0"/>
          <w:numId w:val="1012"/>
        </w:numPr>
        <w:pStyle w:val="Compact"/>
      </w:pPr>
      <w:r>
        <w:t xml:space="preserve">The Healthy group has a moderate age range (23-58 years).</w:t>
      </w:r>
    </w:p>
    <w:p>
      <w:pPr>
        <w:numPr>
          <w:ilvl w:val="0"/>
          <w:numId w:val="1012"/>
        </w:numPr>
        <w:pStyle w:val="Compact"/>
      </w:pPr>
      <w:r>
        <w:t xml:space="preserve">Sex data is missing for several individuals in CD3 (shown as X markers), limiting sex-stratified analyses in those disease categories.</w:t>
      </w:r>
    </w:p>
    <w:p>
      <w:pPr>
        <w:numPr>
          <w:ilvl w:val="0"/>
          <w:numId w:val="1012"/>
        </w:numPr>
        <w:pStyle w:val="Compact"/>
      </w:pPr>
      <w:r>
        <w:t xml:space="preserve">The dataset of origin is not uniformly distributed across disease categories — CD1 dominates the Severe and Mild groups, while CVX1 and CVX2 dominate the Recovered and COVID Naive groups.</w:t>
      </w:r>
    </w:p>
    <w:p>
      <w:pPr>
        <w:pStyle w:val="FirstParagraph"/>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bookmarkEnd w:id="41"/>
    <w:bookmarkStart w:id="42"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 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bookmarkEnd w:id="42"/>
    <w:bookmarkStart w:id="43"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43"/>
    <w:bookmarkStart w:id="44"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44"/>
    <w:bookmarkEnd w:id="45"/>
    <w:bookmarkStart w:id="52"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46"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bookmarkEnd w:id="46"/>
    <w:bookmarkStart w:id="47"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 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47"/>
    <w:bookmarkStart w:id="48"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48"/>
    <w:bookmarkStart w:id="49"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49"/>
    <w:bookmarkStart w:id="50"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 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w:t>
      </w:r>
      <w:r>
        <w:t xml:space="preserve"> </w:t>
      </w:r>
      <w:r>
        <w:t xml:space="preserve">[@Yang2021]</w:t>
      </w:r>
      <w:r>
        <w:t xml:space="preserve">.</w:t>
      </w:r>
    </w:p>
    <w:bookmarkEnd w:id="50"/>
    <w:bookmarkStart w:id="51"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51"/>
    <w:bookmarkEnd w:id="52"/>
    <w:bookmarkEnd w:id="53"/>
    <w:bookmarkStart w:id="58" w:name="discussion-and-conclusions"/>
    <w:p>
      <w:pPr>
        <w:pStyle w:val="Heading1"/>
      </w:pPr>
      <w:r>
        <w:t xml:space="preserve">Discussion and Conclusions</w:t>
      </w:r>
    </w:p>
    <w:bookmarkStart w:id="54"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w:t>
      </w:r>
      <w:r>
        <w:t xml:space="preserve"> </w:t>
      </w:r>
      <w:r>
        <w:t xml:space="preserve">[@Briney2019; @Soto2019]</w:t>
      </w:r>
      <w:r>
        <w:t xml:space="preserve">.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w:t>
      </w:r>
      <w:r>
        <w:t xml:space="preserve"> </w:t>
      </w:r>
      <w:r>
        <w:t xml:space="preserve">[@Corrie2018; @iReceptor]</w:t>
      </w:r>
      <w:r>
        <w:t xml:space="preserve"> </w:t>
      </w:r>
      <w:r>
        <w:t xml:space="preserve">provides federated access to AIRR-seq data but operates at the sequence level rather than the clone level, making it difficult to perform clonal analyses. The AIRR Data Commons API</w:t>
      </w:r>
      <w:r>
        <w:t xml:space="preserve"> </w:t>
      </w:r>
      <w:r>
        <w:t xml:space="preserve">[@Christley2020]</w:t>
      </w:r>
      <w:r>
        <w:t xml:space="preserve"> </w:t>
      </w:r>
      <w:r>
        <w:t xml:space="preserve">provides standardized access to repertoire metadata but does not compute statistical summaries. The Immcantation Framework</w:t>
      </w:r>
      <w:r>
        <w:t xml:space="preserve"> </w:t>
      </w:r>
      <w:r>
        <w:t xml:space="preserve">[@Gupta2015]</w:t>
      </w:r>
      <w:r>
        <w:t xml:space="preserve"> </w:t>
      </w:r>
      <w:r>
        <w:t xml:space="preserve">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54"/>
    <w:bookmarkStart w:id="55"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w:t>
      </w:r>
      <w:r>
        <w:t xml:space="preserve"> </w:t>
      </w:r>
      <w:r>
        <w:t xml:space="preserve">[@Hoehn2021; @Galson2020]</w:t>
      </w:r>
      <w:r>
        <w:t xml:space="preserve">.</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w:t>
      </w:r>
      <w:r>
        <w:t xml:space="preserve"> </w:t>
      </w:r>
      <w:r>
        <w:t xml:space="preserve">[@Kaneko2020]</w:t>
      </w:r>
      <w:r>
        <w:t xml:space="preserve">.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w:t>
      </w:r>
      <w:r>
        <w:t xml:space="preserve"> </w:t>
      </w:r>
      <w:r>
        <w:t xml:space="preserve">[@Saada2007]</w:t>
      </w:r>
      <w:r>
        <w:t xml:space="preserve">.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w:t>
      </w:r>
      <w:r>
        <w:t xml:space="preserve"> </w:t>
      </w:r>
      <w:r>
        <w:t xml:space="preserve">[@Yang2021; @Briney2019]</w:t>
      </w:r>
      <w:r>
        <w:t xml:space="preserve">. While specific antibody lineages targeting SARS-CoV-2 epitopes may preferentially use certain V genes</w:t>
      </w:r>
      <w:r>
        <w:t xml:space="preserve"> </w:t>
      </w:r>
      <w:r>
        <w:t xml:space="preserve">[@Robbiani2020]</w:t>
      </w:r>
      <w:r>
        <w:t xml:space="preserve">,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55"/>
    <w:bookmarkStart w:id="56"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56"/>
    <w:bookmarkStart w:id="57"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57"/>
    <w:bookmarkEnd w:id="58"/>
    <w:bookmarkStart w:id="59" w:name="references"/>
    <w:p>
      <w:pPr>
        <w:pStyle w:val="Heading1"/>
      </w:pPr>
      <w:r>
        <w:t xml:space="preserve">References</w:t>
      </w:r>
    </w:p>
    <w:p>
      <w:pPr>
        <w:numPr>
          <w:ilvl w:val="0"/>
          <w:numId w:val="1013"/>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3"/>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3"/>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3"/>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3"/>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3"/>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3"/>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3"/>
        </w:numPr>
      </w:pPr>
      <w:r>
        <w:t xml:space="preserve">Victora, G. D., &amp; Nussenzweig, M. C. (2012). Germinal centers.</w:t>
      </w:r>
      <w:r>
        <w:t xml:space="preserve"> </w:t>
      </w:r>
      <w:r>
        <w:rPr>
          <w:iCs/>
          <w:i/>
        </w:rPr>
        <w:t xml:space="preserve">Annual Review of Immunology</w:t>
      </w:r>
      <w:r>
        <w:t xml:space="preserve">, 30, 429-457.</w:t>
      </w:r>
    </w:p>
    <w:p>
      <w:pPr>
        <w:numPr>
          <w:ilvl w:val="0"/>
          <w:numId w:val="1013"/>
        </w:numPr>
      </w:pPr>
      <w:r>
        <w:t xml:space="preserve">Kim, D., &amp; Park, D. (2019). Deep sequencing of B cell receptor repertoire.</w:t>
      </w:r>
      <w:r>
        <w:t xml:space="preserve"> </w:t>
      </w:r>
      <w:r>
        <w:rPr>
          <w:iCs/>
          <w:i/>
        </w:rPr>
        <w:t xml:space="preserve">BMB Reports</w:t>
      </w:r>
      <w:r>
        <w:t xml:space="preserve">, 52(9), 540-547.</w:t>
      </w:r>
    </w:p>
    <w:p>
      <w:pPr>
        <w:numPr>
          <w:ilvl w:val="0"/>
          <w:numId w:val="1013"/>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3"/>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3"/>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3"/>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3"/>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3"/>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3"/>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3"/>
        </w:numPr>
      </w:pPr>
      <w:r>
        <w:t xml:space="preserve">iReceptor Gateway. https://gateway.ireceptor.org</w:t>
      </w:r>
    </w:p>
    <w:p>
      <w:pPr>
        <w:numPr>
          <w:ilvl w:val="0"/>
          <w:numId w:val="1013"/>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3"/>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3"/>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3"/>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3"/>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3"/>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3"/>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3"/>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3"/>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3"/>
        </w:numPr>
      </w:pPr>
      <w:r>
        <w:t xml:space="preserve">Lambert, M., Surhone, L., Tennoe, M. T., &amp; Henssonow, S. F. (2010).</w:t>
      </w:r>
      <w:r>
        <w:t xml:space="preserve"> </w:t>
      </w:r>
      <w:r>
        <w:rPr>
          <w:iCs/>
          <w:i/>
        </w:rPr>
        <w:t xml:space="preserve">Node.js</w:t>
      </w:r>
      <w:r>
        <w:t xml:space="preserve">. Betascript Publishing.</w:t>
      </w:r>
    </w:p>
    <w:p>
      <w:pPr>
        <w:numPr>
          <w:ilvl w:val="0"/>
          <w:numId w:val="1013"/>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3"/>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3"/>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3"/>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3"/>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3"/>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3"/>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3"/>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3"/>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3"/>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3"/>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3"/>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3"/>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3"/>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3"/>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3"/>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3"/>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3"/>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3"/>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3"/>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3"/>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2026-08-29T03:52:40Z</dcterms:created>
  <dcterms:modified xsi:type="dcterms:W3CDTF">2026-08-29T03:52:40Z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