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Diversity profiles by disease stage.</w:t>
      </w:r>
    </w:p>
    <w:p>
      <w:pPr>
        <w:pStyle w:val="BodyText"/>
      </w:pPr>
      <w:r>
        <w:rPr>
          <w:bCs/>
          <w:b/>
        </w:rPr>
        <w:t xml:space="preserve">Figure 2.</w:t>
      </w:r>
      <w:r>
        <w:t xml:space="preserve"> </w:t>
      </w:r>
      <w:r>
        <w:t xml:space="preserve">Clone size distribution by disease stage.</w:t>
      </w:r>
    </w:p>
    <w:p>
      <w:pPr>
        <w:pStyle w:val="BodyText"/>
      </w:pPr>
      <w:r>
        <w:rPr>
          <w:bCs/>
          <w:b/>
        </w:rPr>
        <w:t xml:space="preserve">Figure 3.</w:t>
      </w:r>
      <w:r>
        <w:t xml:space="preserve"> </w:t>
      </w:r>
      <w:r>
        <w:t xml:space="preserve">Clone size: copies versus unique sequences by disease stage.</w:t>
      </w:r>
    </w:p>
    <w:p>
      <w:pPr>
        <w:pStyle w:val="BodyText"/>
      </w:pPr>
      <w:r>
        <w:rPr>
          <w:bCs/>
          <w:b/>
        </w:rPr>
        <w:t xml:space="preserve">Figure 4.</w:t>
      </w:r>
      <w:r>
        <w:t xml:space="preserve"> </w:t>
      </w:r>
      <w:r>
        <w:t xml:space="preserve">Clonal concentration (Top X) by disease stage.</w:t>
      </w:r>
    </w:p>
    <w:p>
      <w:pPr>
        <w:pStyle w:val="BodyText"/>
      </w:pPr>
      <w:r>
        <w:rPr>
          <w:bCs/>
          <w:b/>
        </w:rPr>
        <w:t xml:space="preserve">Figure 5.</w:t>
      </w:r>
      <w:r>
        <w:t xml:space="preserve"> </w:t>
      </w:r>
      <w:r>
        <w:t xml:space="preserve">CDR3 length by clone size and disease stage (expanded vs. rest).</w:t>
      </w:r>
    </w:p>
    <w:p>
      <w:pPr>
        <w:pStyle w:val="BodyText"/>
      </w:pPr>
      <w:r>
        <w:rPr>
          <w:bCs/>
          <w:b/>
        </w:rPr>
        <w:t xml:space="preserve">Figure 6.</w:t>
      </w:r>
      <w:r>
        <w:t xml:space="preserve"> </w:t>
      </w:r>
      <w:r>
        <w:t xml:space="preserve">CDR3 length distribution: all clones and expanded clones by disease stage.</w:t>
      </w:r>
    </w:p>
    <w:p>
      <w:pPr>
        <w:pStyle w:val="BodyText"/>
      </w:pPr>
      <w:r>
        <w:rPr>
          <w:bCs/>
          <w:b/>
        </w:rPr>
        <w:t xml:space="preserve">Figure 7.</w:t>
      </w:r>
      <w:r>
        <w:t xml:space="preserve"> </w:t>
      </w:r>
      <w:r>
        <w:t xml:space="preserve">CDR3 length of top 10 clones by disease stage.</w:t>
      </w:r>
    </w:p>
    <w:p>
      <w:pPr>
        <w:pStyle w:val="BodyText"/>
      </w:pPr>
      <w:r>
        <w:rPr>
          <w:bCs/>
          <w:b/>
        </w:rPr>
        <w:t xml:space="preserve">Figure 8.</w:t>
      </w:r>
      <w:r>
        <w:t xml:space="preserve"> </w:t>
      </w:r>
      <w:r>
        <w:t xml:space="preserve">CDR3 length range of top 10 clones by disease stage.</w:t>
      </w:r>
    </w:p>
    <w:p>
      <w:pPr>
        <w:pStyle w:val="BodyText"/>
      </w:pPr>
      <w:r>
        <w:rPr>
          <w:bCs/>
          <w:b/>
        </w:rPr>
        <w:t xml:space="preserve">Figure 9.</w:t>
      </w:r>
      <w:r>
        <w:t xml:space="preserve"> </w:t>
      </w:r>
      <w:r>
        <w:t xml:space="preserve">NS/S ratios and mutation counts by disease stage (all clones and expanded vs. rest).</w:t>
      </w:r>
    </w:p>
    <w:p>
      <w:pPr>
        <w:pStyle w:val="BodyText"/>
      </w:pPr>
      <w:r>
        <w:rPr>
          <w:bCs/>
          <w:b/>
        </w:rPr>
        <w:t xml:space="preserve">Figure 10.</w:t>
      </w:r>
      <w:r>
        <w:t xml:space="preserve"> </w:t>
      </w:r>
      <w:r>
        <w:t xml:space="preserve">V gene usage heatmap by disease stage.</w:t>
      </w:r>
    </w:p>
    <w:p>
      <w:pPr>
        <w:pStyle w:val="BodyText"/>
      </w:pPr>
      <w:r>
        <w:rPr>
          <w:bCs/>
          <w:b/>
        </w:rPr>
        <w:t xml:space="preserve">Figure 11.</w:t>
      </w:r>
      <w:r>
        <w:t xml:space="preserve"> </w:t>
      </w:r>
      <w:r>
        <w:t xml:space="preserve">Clonal metrics versus age by disease stage.</w:t>
      </w:r>
    </w:p>
    <w:p>
      <w:pPr>
        <w:pStyle w:val="BodyText"/>
      </w:pPr>
      <w:r>
        <w:rPr>
          <w:bCs/>
          <w:b/>
        </w:rPr>
        <w:t xml:space="preserve">Figure 12.</w:t>
      </w:r>
      <w:r>
        <w:t xml:space="preserve"> </w:t>
      </w:r>
      <w:r>
        <w:t xml:space="preserve">Clonal metrics by gender and disease stage.</w:t>
      </w:r>
    </w:p>
    <w:p>
      <w:pPr>
        <w:pStyle w:val="BodyText"/>
      </w:pPr>
      <w:r>
        <w:rPr>
          <w:bCs/>
          <w:b/>
        </w:rPr>
        <w:t xml:space="preserve">Figure 13.</w:t>
      </w:r>
      <w:r>
        <w:t xml:space="preserve"> </w:t>
      </w:r>
      <w:r>
        <w:t xml:space="preserve">Mutation level in top 10 clones stratified by sex and disease stage.</w:t>
      </w:r>
    </w:p>
    <w:p>
      <w:pPr>
        <w:pStyle w:val="BodyText"/>
      </w:pPr>
      <w:r>
        <w:rPr>
          <w:bCs/>
          <w:b/>
        </w:rPr>
        <w:t xml:space="preserve">Figure 14.</w:t>
      </w:r>
      <w:r>
        <w:t xml:space="preserve"> </w:t>
      </w:r>
      <w:r>
        <w:t xml:space="preserve">CDR3 length in top 10 clones stratified by sex and disease stage.</w:t>
      </w:r>
    </w:p>
    <w:p>
      <w:pPr>
        <w:pStyle w:val="BodyText"/>
      </w:pPr>
      <w:r>
        <w:rPr>
          <w:bCs/>
          <w:b/>
        </w:rPr>
        <w:t xml:space="preserve">Figure 15.</w:t>
      </w:r>
      <w:r>
        <w:t xml:space="preserve"> </w:t>
      </w:r>
      <w:r>
        <w:t xml:space="preserve">Within-individual clone count across tissues.</w:t>
      </w:r>
    </w:p>
    <w:p>
      <w:pPr>
        <w:pStyle w:val="BodyText"/>
      </w:pPr>
      <w:r>
        <w:rPr>
          <w:bCs/>
          <w:b/>
        </w:rPr>
        <w:t xml:space="preserve">Figure 16.</w:t>
      </w:r>
      <w:r>
        <w:t xml:space="preserve"> </w:t>
      </w:r>
      <w:r>
        <w:t xml:space="preserve">Within-individual clone size across tissues.</w:t>
      </w:r>
    </w:p>
    <w:p>
      <w:pPr>
        <w:pStyle w:val="BodyText"/>
      </w:pPr>
      <w:r>
        <w:rPr>
          <w:bCs/>
          <w:b/>
        </w:rPr>
        <w:t xml:space="preserve">Figure 17.</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0"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36"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tbl>
      <w:tblPr>
        <w:tblStyle w:val="FigureTable"/>
        <w:tblW w:type="auto" w:w="0"/>
        <w:tblLook w:firstRow="0" w:lastRow="0" w:firstColumn="0" w:lastColumn="0"/>
        <w:jc w:val="center"/>
      </w:tblPr>
      <w:tblGrid>
        <w:gridCol w:w="7920"/>
      </w:tblGrid>
      <w:tr>
        <w:tc>
          <w:tcPr/>
          <w:p>
            <w:pPr>
              <w:pStyle w:val="Compact"/>
              <w:jc w:val="center"/>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tc>
      </w:tr>
    </w:tbl>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tbl>
      <w:tblPr>
        <w:tblStyle w:val="FigureTable"/>
        <w:tblW w:type="auto" w:w="0"/>
        <w:tblLook w:firstRow="0" w:lastRow="0" w:firstColumn="0" w:lastColumn="0"/>
        <w:jc w:val="center"/>
      </w:tblPr>
      <w:tblGrid>
        <w:gridCol w:w="7920"/>
      </w:tblGrid>
      <w:tr>
        <w:tc>
          <w:tcPr/>
          <w:p>
            <w:pPr>
              <w:pStyle w:val="Compact"/>
              <w:jc w:val="center"/>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tc>
      </w:tr>
    </w:tbl>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2</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tbl>
      <w:tblPr>
        <w:tblStyle w:val="FigureTable"/>
        <w:tblW w:type="auto" w:w="0"/>
        <w:tblLook w:firstRow="0" w:lastRow="0" w:firstColumn="0" w:lastColumn="0"/>
        <w:jc w:val="center"/>
      </w:tblPr>
      <w:tblGrid>
        <w:gridCol w:w="7920"/>
      </w:tblGrid>
      <w:tr>
        <w:tc>
          <w:tcPr/>
          <w:p>
            <w:pPr>
              <w:pStyle w:val="Compact"/>
              <w:jc w:val="center"/>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tc>
      </w:tr>
    </w:tbl>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36"/>
    <w:bookmarkStart w:id="37"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37"/>
    <w:bookmarkStart w:id="38"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38"/>
    <w:bookmarkStart w:id="39"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39"/>
    <w:bookmarkEnd w:id="40"/>
    <w:bookmarkStart w:id="50"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41"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tbl>
      <w:tblPr>
        <w:tblStyle w:val="FigureTable"/>
        <w:tblW w:type="auto" w:w="0"/>
        <w:tblLook w:firstRow="0" w:lastRow="0" w:firstColumn="0" w:lastColumn="0"/>
        <w:jc w:val="center"/>
      </w:tblPr>
      <w:tblGrid>
        <w:gridCol w:w="7920"/>
      </w:tblGrid>
      <w:tr>
        <w:tc>
          <w:tcPr/>
          <w:p>
            <w:pPr>
              <w:pStyle w:val="Compact"/>
              <w:jc w:val="center"/>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tc>
      </w:tr>
    </w:tbl>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tbl>
      <w:tblPr>
        <w:tblStyle w:val="FigureTable"/>
        <w:tblW w:type="auto" w:w="0"/>
        <w:tblLook w:firstRow="0" w:lastRow="0" w:firstColumn="0" w:lastColumn="0"/>
        <w:jc w:val="center"/>
      </w:tblPr>
      <w:tblGrid>
        <w:gridCol w:w="7920"/>
      </w:tblGrid>
      <w:tr>
        <w:tc>
          <w:tcPr/>
          <w:p>
            <w:pPr>
              <w:pStyle w:val="Compact"/>
              <w:jc w:val="center"/>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tc>
      </w:tr>
    </w:tbl>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2</w:t>
      </w:r>
      <w: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tc>
      </w:tr>
    </w:tbl>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3</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tbl>
      <w:tblPr>
        <w:tblStyle w:val="FigureTable"/>
        <w:tblW w:type="auto" w:w="0"/>
        <w:tblLook w:firstRow="0" w:lastRow="0" w:firstColumn="0" w:lastColumn="0"/>
        <w:jc w:val="center"/>
      </w:tblPr>
      <w:tblGrid>
        <w:gridCol w:w="7920"/>
      </w:tblGrid>
      <w:tr>
        <w:tc>
          <w:tcPr/>
          <w:p>
            <w:pPr>
              <w:pStyle w:val="Compact"/>
              <w:jc w:val="center"/>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tc>
      </w:tr>
    </w:tbl>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4</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tbl>
      <w:tblPr>
        <w:tblStyle w:val="FigureTable"/>
        <w:tblW w:type="auto" w:w="0"/>
        <w:tblLook w:firstRow="0" w:lastRow="0" w:firstColumn="0" w:lastColumn="0"/>
        <w:jc w:val="center"/>
      </w:tblPr>
      <w:tblGrid>
        <w:gridCol w:w="7920"/>
      </w:tblGrid>
      <w:tr>
        <w:tc>
          <w:tcPr/>
          <w:p>
            <w:pPr>
              <w:pStyle w:val="Compact"/>
              <w:jc w:val="center"/>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tc>
      </w:tr>
    </w:tbl>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4</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tbl>
      <w:tblPr>
        <w:tblStyle w:val="FigureTable"/>
        <w:tblW w:type="auto" w:w="0"/>
        <w:tblLook w:firstRow="0" w:lastRow="0" w:firstColumn="0" w:lastColumn="0"/>
        <w:jc w:val="center"/>
      </w:tblPr>
      <w:tblGrid>
        <w:gridCol w:w="7920"/>
      </w:tblGrid>
      <w:tr>
        <w:tc>
          <w:tcPr/>
          <w:p>
            <w:pPr>
              <w:pStyle w:val="Compact"/>
              <w:jc w:val="center"/>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tc>
      </w:tr>
    </w:tbl>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41"/>
    <w:bookmarkStart w:id="42"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The diversity profiles (</w:t>
      </w:r>
      <w:r>
        <w:rPr>
          <w:bCs/>
          <w:b/>
        </w:rPr>
        <w:t xml:space="preserve">Figure 1</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tbl>
      <w:tblPr>
        <w:tblStyle w:val="FigureTable"/>
        <w:tblW w:type="auto" w:w="0"/>
        <w:tblLook w:firstRow="0" w:lastRow="0" w:firstColumn="0" w:lastColumn="0"/>
        <w:jc w:val="center"/>
      </w:tblPr>
      <w:tblGrid>
        <w:gridCol w:w="7920"/>
      </w:tblGrid>
      <w:tr>
        <w:tc>
          <w:tcPr/>
          <w:p>
            <w:pPr>
              <w:pStyle w:val="Compact"/>
              <w:jc w:val="center"/>
            </w:pPr>
            <w:r>
              <w:t xml:space="preserve">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tc>
      </w:tr>
    </w:tbl>
    <w:p>
      <w:pPr>
        <w:pStyle w:val="ImageCaption"/>
      </w:pPr>
      <w:r>
        <w:t xml:space="preserve">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42"/>
    <w:bookmarkStart w:id="43"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2</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tbl>
      <w:tblPr>
        <w:tblStyle w:val="FigureTable"/>
        <w:tblW w:type="auto" w:w="0"/>
        <w:tblLook w:firstRow="0" w:lastRow="0" w:firstColumn="0" w:lastColumn="0"/>
        <w:jc w:val="center"/>
      </w:tblPr>
      <w:tblGrid>
        <w:gridCol w:w="7920"/>
      </w:tblGrid>
      <w:tr>
        <w:tc>
          <w:tcPr/>
          <w:p>
            <w:pPr>
              <w:pStyle w:val="Compact"/>
              <w:jc w:val="center"/>
            </w:pPr>
            <w:r>
              <w:t xml:space="preserve">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tc>
      </w:tr>
    </w:tbl>
    <w:p>
      <w:pPr>
        <w:pStyle w:val="ImageCaption"/>
      </w:pPr>
      <w:r>
        <w:t xml:space="preserve">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3</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tbl>
      <w:tblPr>
        <w:tblStyle w:val="FigureTable"/>
        <w:tblW w:type="auto" w:w="0"/>
        <w:tblLook w:firstRow="0" w:lastRow="0" w:firstColumn="0" w:lastColumn="0"/>
        <w:jc w:val="center"/>
      </w:tblPr>
      <w:tblGrid>
        <w:gridCol w:w="7920"/>
      </w:tblGrid>
      <w:tr>
        <w:tc>
          <w:tcPr/>
          <w:p>
            <w:pPr>
              <w:pStyle w:val="Compact"/>
              <w:jc w:val="center"/>
            </w:pPr>
            <w:r>
              <w:t xml:space="preserve">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tc>
      </w:tr>
    </w:tbl>
    <w:p>
      <w:pPr>
        <w:pStyle w:val="ImageCaption"/>
      </w:pPr>
      <w:r>
        <w:t xml:space="preserve">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4</w:t>
      </w:r>
      <w:r>
        <w:t xml:space="preserve">), revealing the degree of oligoclonal dominance in each disease category.</w:t>
      </w:r>
    </w:p>
    <w:tbl>
      <w:tblPr>
        <w:tblStyle w:val="FigureTable"/>
        <w:tblW w:type="auto" w:w="0"/>
        <w:tblLook w:firstRow="0" w:lastRow="0" w:firstColumn="0" w:lastColumn="0"/>
        <w:jc w:val="center"/>
      </w:tblPr>
      <w:tblGrid>
        <w:gridCol w:w="7920"/>
      </w:tblGrid>
      <w:tr>
        <w:tc>
          <w:tcPr/>
          <w:p>
            <w:pPr>
              <w:pStyle w:val="Compact"/>
              <w:jc w:val="center"/>
            </w:pPr>
            <w:r>
              <w:t xml:space="preserve">Figure 4. Clonal concentration: fraction of total sequence copies accounted for by the top 10, top 100, and top 1000 clones per individual, shown as stacked bars by disease stage. Higher values indicate greater oligoclonal dominance. Each bar represents one individual.</w:t>
            </w:r>
          </w:p>
        </w:tc>
      </w:tr>
    </w:tbl>
    <w:p>
      <w:pPr>
        <w:pStyle w:val="ImageCaption"/>
      </w:pPr>
      <w:r>
        <w:t xml:space="preserve">Figure 4. Clonal concentration: fraction of total sequence copies accounted for by the top 10, top 100, and top 1000 clones per individual, shown as stacked bars by disease stage. Higher values indicate greater oligoclonal dominance. Each bar represents one individual.</w:t>
      </w:r>
    </w:p>
    <w:bookmarkEnd w:id="43"/>
    <w:bookmarkStart w:id="44"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2</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5</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tbl>
      <w:tblPr>
        <w:tblStyle w:val="FigureTable"/>
        <w:tblW w:type="auto" w:w="0"/>
        <w:tblLook w:firstRow="0" w:lastRow="0" w:firstColumn="0" w:lastColumn="0"/>
        <w:jc w:val="center"/>
      </w:tblPr>
      <w:tblGrid>
        <w:gridCol w:w="7920"/>
      </w:tblGrid>
      <w:tr>
        <w:tc>
          <w:tcPr/>
          <w:p>
            <w:pPr>
              <w:pStyle w:val="Compact"/>
              <w:jc w:val="center"/>
            </w:pPr>
            <w:r>
              <w:t xml:space="preserve">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tc>
      </w:tr>
    </w:tbl>
    <w:p>
      <w:pPr>
        <w:pStyle w:val="ImageCaption"/>
      </w:pPr>
      <w:r>
        <w:t xml:space="preserve">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6</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tbl>
      <w:tblPr>
        <w:tblStyle w:val="FigureTable"/>
        <w:tblW w:type="auto" w:w="0"/>
        <w:tblLook w:firstRow="0" w:lastRow="0" w:firstColumn="0" w:lastColumn="0"/>
        <w:jc w:val="center"/>
      </w:tblPr>
      <w:tblGrid>
        <w:gridCol w:w="7920"/>
      </w:tblGrid>
      <w:tr>
        <w:tc>
          <w:tcPr/>
          <w:p>
            <w:pPr>
              <w:pStyle w:val="Compact"/>
              <w:jc w:val="center"/>
            </w:pPr>
            <w:r>
              <w:t xml:space="preserve">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tc>
      </w:tr>
    </w:tbl>
    <w:p>
      <w:pPr>
        <w:pStyle w:val="ImageCaption"/>
      </w:pPr>
      <w:r>
        <w:t xml:space="preserve">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bookmarkEnd w:id="44"/>
    <w:bookmarkStart w:id="45" w:name="Xa3a5f16bbabd21d6c46feaa392d5f3cd6883c38"/>
    <w:p>
      <w:pPr>
        <w:pStyle w:val="Heading2"/>
      </w:pPr>
      <w:r>
        <w:rPr>
          <w:rStyle w:val="SectionNumber"/>
        </w:rPr>
        <w:t xml:space="preserve">7.5</w:t>
      </w:r>
      <w:r>
        <w:tab/>
      </w:r>
      <w:r>
        <w:t xml:space="preserve">CDR3 and Mutation Properties of Dominant Clones</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7</w:t>
      </w:r>
      <w:r>
        <w:t xml:space="preserve">), along with the range of CDR3 lengths (</w:t>
      </w:r>
      <w:r>
        <w:rPr>
          <w:bCs/>
          <w:b/>
        </w:rPr>
        <w:t xml:space="preserve">Figure 8</w:t>
      </w:r>
      <w:r>
        <w:t xml:space="preserve">). These figures characterize the antigen-binding loop properties of the most expanded clones across disease categories.</w:t>
      </w:r>
    </w:p>
    <w:tbl>
      <w:tblPr>
        <w:tblStyle w:val="FigureTable"/>
        <w:tblW w:type="auto" w:w="0"/>
        <w:tblLook w:firstRow="0" w:lastRow="0" w:firstColumn="0" w:lastColumn="0"/>
        <w:jc w:val="center"/>
      </w:tblPr>
      <w:tblGrid>
        <w:gridCol w:w="7920"/>
      </w:tblGrid>
      <w:tr>
        <w:tc>
          <w:tcPr/>
          <w:p>
            <w:pPr>
              <w:pStyle w:val="Compact"/>
              <w:jc w:val="center"/>
            </w:pPr>
            <w:r>
              <w:t xml:space="preserve">Figure 7. Mean CDR3 amino acid length of the top 10 clones per individual, grouped by disease stage. Each dot represents one individual; boxplots show median and IQR. CDR3 length reflects the antigen-binding loop size of the most expanded clones.</w:t>
            </w:r>
          </w:p>
        </w:tc>
      </w:tr>
    </w:tbl>
    <w:p>
      <w:pPr>
        <w:pStyle w:val="ImageCaption"/>
      </w:pPr>
      <w:r>
        <w:t xml:space="preserve">Figure 7. Mean CDR3 amino acid length of the top 10 clones per individual, grouped by disease stage. Each dot represents one individual; boxplots show median and IQR. CDR3 length reflects the antigen-binding loop size of the most expanded clones.</w:t>
      </w:r>
    </w:p>
    <w:tbl>
      <w:tblPr>
        <w:tblStyle w:val="FigureTable"/>
        <w:tblW w:type="auto" w:w="0"/>
        <w:tblLook w:firstRow="0" w:lastRow="0" w:firstColumn="0" w:lastColumn="0"/>
        <w:jc w:val="center"/>
      </w:tblPr>
      <w:tblGrid>
        <w:gridCol w:w="7920"/>
      </w:tblGrid>
      <w:tr>
        <w:tc>
          <w:tcPr/>
          <w:p>
            <w:pPr>
              <w:pStyle w:val="Compact"/>
              <w:jc w:val="center"/>
            </w:pPr>
            <w:r>
              <w:t xml:space="preserve">Figure 8. CDR3 length range (max minus min amino acid length) of the top 10 clones per individual, grouped by disease stage. Larger ranges indicate greater CDR3 structural heterogeneity among the dominant clones.</w:t>
            </w:r>
          </w:p>
        </w:tc>
      </w:tr>
    </w:tbl>
    <w:p>
      <w:pPr>
        <w:pStyle w:val="ImageCaption"/>
      </w:pPr>
      <w:r>
        <w:t xml:space="preserve">Figure 8.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and mutation profile (NS/S ratios).</w:t>
      </w:r>
      <w:r>
        <w:t xml:space="preserve"> </w:t>
      </w:r>
      <w:r>
        <w:t xml:space="preserve">To analyze selection pressure and mutation burden, we computed NS/S ratios separately for CDR and framework (FW) regions across all clones and stratified by clone expansion status (</w:t>
      </w:r>
      <w:r>
        <w:rPr>
          <w:bCs/>
          <w:b/>
        </w:rPr>
        <w:t xml:space="preserve">Figure 8</w:t>
      </w:r>
      <w: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Figure 9.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tc>
      </w:tr>
    </w:tbl>
    <w:p>
      <w:pPr>
        <w:pStyle w:val="ImageCaption"/>
      </w:pPr>
      <w:r>
        <w:t xml:space="preserve">Figure 9.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p>
      <w:pPr>
        <w:pStyle w:val="BodyText"/>
      </w:pPr>
      <w:r>
        <w:t xml:space="preserve">Across all clones (Panels A–C), CDR NS/S ratios were consistently above 1.0 in all disease categories, confirming positive selection in antigen-binding regions. The Kruskal-Wallis test revealed significant differences across groups (p &lt; 0.0001): Mild, Recovered, and COVID Naive individuals had higher median CDR NS/S ratios (~3.0–3.2), suggesting stronger positive selection, while Severe (2.66) and Moderate (2.03) cases showed lower ratios. FW NS/S ratios (Panel B) were markedly lower than CDR ratios (~1.4–1.6) and did not differ significantly across disease categories (p = 0.92), consistent with purifying selection maintaining framework structural integrity. The shared y-axis scale between Panels A and B makes this CDR–FW contrast immediately apparent.</w:t>
      </w:r>
    </w:p>
    <w:p>
      <w:pPr>
        <w:pStyle w:val="BodyText"/>
      </w:pPr>
      <w:r>
        <w:t xml:space="preserve">When stratified by clone expansion status (Panels D–F), expanded clones showed lower CDR NS/S ratios than non-expanded clones in disease groups (e.g., Moderate expanded: 1.33 vs. rest: ~3.0), while maintaining higher FW NS/S ratios (Moderate expanded: 1.91 vs. rest: ~1.6). This pattern suggests that expanded clones accumulate proportionally more synonymous mutations in CDR regions — possibly reflecting ongoing somatic hypermutation — while their framework regions tolerate more replacement mutations than non-expanded clones. Panels C and F show that expanded clones carry substantially higher absolute mutation counts (10–60 average mutations) compared to non-expanded clones (2–8), confirming extensive somatic hypermutation in clonally expanded populations across all disease stages.</w:t>
      </w:r>
    </w:p>
    <w:bookmarkEnd w:id="45"/>
    <w:bookmarkStart w:id="46" w:name="v-gene-usage"/>
    <w:p>
      <w:pPr>
        <w:pStyle w:val="Heading2"/>
      </w:pPr>
      <w:r>
        <w:rPr>
          <w:rStyle w:val="SectionNumber"/>
        </w:rPr>
        <w:t xml:space="preserve">7.6</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10</w:t>
      </w:r>
      <w: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Figure 10.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tc>
      </w:tr>
    </w:tbl>
    <w:p>
      <w:pPr>
        <w:pStyle w:val="ImageCaption"/>
      </w:pPr>
      <w:r>
        <w:t xml:space="preserve">Figure 10.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46"/>
    <w:bookmarkStart w:id="47" w:name="age-and-gender-as-potential-confounders"/>
    <w:p>
      <w:pPr>
        <w:pStyle w:val="Heading2"/>
      </w:pPr>
      <w:r>
        <w:rPr>
          <w:rStyle w:val="SectionNumber"/>
        </w:rPr>
        <w:t xml:space="preserve">7.7</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tbl>
      <w:tblPr>
        <w:tblStyle w:val="FigureTable"/>
        <w:tblW w:type="auto" w:w="0"/>
        <w:tblLook w:firstRow="0" w:lastRow="0" w:firstColumn="0" w:lastColumn="0"/>
        <w:jc w:val="center"/>
      </w:tblPr>
      <w:tblGrid>
        <w:gridCol w:w="7920"/>
      </w:tblGrid>
      <w:tr>
        <w:tc>
          <w:tcPr/>
          <w:p>
            <w:pPr>
              <w:pStyle w:val="Compact"/>
              <w:jc w:val="center"/>
            </w:pPr>
            <w:r>
              <w:t xml:space="preserve">Figure 11.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tc>
      </w:tr>
    </w:tbl>
    <w:p>
      <w:pPr>
        <w:pStyle w:val="ImageCaption"/>
      </w:pPr>
      <w:r>
        <w:t xml:space="preserve">Figure 11.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11</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tbl>
      <w:tblPr>
        <w:tblStyle w:val="FigureTable"/>
        <w:tblW w:type="auto" w:w="0"/>
        <w:tblLook w:firstRow="0" w:lastRow="0" w:firstColumn="0" w:lastColumn="0"/>
        <w:jc w:val="center"/>
      </w:tblPr>
      <w:tblGrid>
        <w:gridCol w:w="7920"/>
      </w:tblGrid>
      <w:tr>
        <w:tc>
          <w:tcPr/>
          <w:p>
            <w:pPr>
              <w:pStyle w:val="Compact"/>
              <w:jc w:val="center"/>
            </w:pPr>
            <w:r>
              <w:t xml:space="preserve">Figure 12. Clonal metrics by gender and disease stage. Panel A: clone count (log scale). Panel B: mean CDR3 length. Panel C: CDR NS/S ratio. Boxplots compare male and female individuals within each disease category.</w:t>
            </w:r>
          </w:p>
        </w:tc>
      </w:tr>
    </w:tbl>
    <w:p>
      <w:pPr>
        <w:pStyle w:val="ImageCaption"/>
      </w:pPr>
      <w:r>
        <w:t xml:space="preserve">Figure 12.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12</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47"/>
    <w:bookmarkStart w:id="48" w:name="sex-stratified-analysis"/>
    <w:p>
      <w:pPr>
        <w:pStyle w:val="Heading2"/>
      </w:pPr>
      <w:r>
        <w:rPr>
          <w:rStyle w:val="SectionNumber"/>
        </w:rPr>
        <w:t xml:space="preserve">7.8</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13</w:t>
      </w:r>
      <w:r>
        <w:t xml:space="preserve">) and CDR3 lengths (</w:t>
      </w:r>
      <w:r>
        <w:rPr>
          <w:bCs/>
          <w:b/>
        </w:rPr>
        <w:t xml:space="preserve">Figure 14</w:t>
      </w:r>
      <w:r>
        <w:t xml:space="preserve">) in the top 10 clones, stratified by both sex and disease category. This demonstrates the API’s ability to perform intersectional queries across multiple metadata dimensions.</w:t>
      </w:r>
    </w:p>
    <w:tbl>
      <w:tblPr>
        <w:tblStyle w:val="FigureTable"/>
        <w:tblW w:type="auto" w:w="0"/>
        <w:tblLook w:firstRow="0" w:lastRow="0" w:firstColumn="0" w:lastColumn="0"/>
        <w:jc w:val="center"/>
      </w:tblPr>
      <w:tblGrid>
        <w:gridCol w:w="7920"/>
      </w:tblGrid>
      <w:tr>
        <w:tc>
          <w:tcPr/>
          <w:p>
            <w:pPr>
              <w:pStyle w:val="Compact"/>
              <w:jc w:val="center"/>
            </w:pPr>
            <w:r>
              <w:t xml:space="preserve">Figure 13. Mutation level in top 10 clones stratified by sex and disease stage. Male and female individuals compared within each disease category. Demonstrates IS-API’s ability to perform intersectional queries across multiple metadata dimensions in a single API call.</w:t>
            </w:r>
          </w:p>
        </w:tc>
      </w:tr>
    </w:tbl>
    <w:p>
      <w:pPr>
        <w:pStyle w:val="ImageCaption"/>
      </w:pPr>
      <w:r>
        <w:t xml:space="preserve">Figure 13. Mutation level in top 10 clones stratified by sex and disease stage. Male and female individuals compared within each disease category. Demonstrates IS-API’s ability to perform intersectional queries across multiple metadata dimensions in a single API call.</w:t>
      </w:r>
    </w:p>
    <w:tbl>
      <w:tblPr>
        <w:tblStyle w:val="FigureTable"/>
        <w:tblW w:type="auto" w:w="0"/>
        <w:tblLook w:firstRow="0" w:lastRow="0" w:firstColumn="0" w:lastColumn="0"/>
        <w:jc w:val="center"/>
      </w:tblPr>
      <w:tblGrid>
        <w:gridCol w:w="7920"/>
      </w:tblGrid>
      <w:tr>
        <w:tc>
          <w:tcPr/>
          <w:p>
            <w:pPr>
              <w:pStyle w:val="Compact"/>
              <w:jc w:val="center"/>
            </w:pPr>
            <w:r>
              <w:t xml:space="preserve">Figure 14. CDR3 length in top 10 clones stratified by sex and disease stage. Mean CDR3 amino acid length of the top 10 clones per individual, grouped by sex within each disease category.</w:t>
            </w:r>
          </w:p>
        </w:tc>
      </w:tr>
    </w:tbl>
    <w:p>
      <w:pPr>
        <w:pStyle w:val="ImageCaption"/>
      </w:pPr>
      <w:r>
        <w:t xml:space="preserve">Figure 14. CDR3 length in top 10 clones stratified by sex and disease stage. Mean CDR3 amino acid length of the top 10 clones per individual, grouped by sex within each disease category.</w:t>
      </w:r>
    </w:p>
    <w:bookmarkEnd w:id="48"/>
    <w:bookmarkStart w:id="49" w:name="within-individual-cross-tissue-analysis"/>
    <w:p>
      <w:pPr>
        <w:pStyle w:val="Heading2"/>
      </w:pPr>
      <w:r>
        <w:rPr>
          <w:rStyle w:val="SectionNumber"/>
        </w:rPr>
        <w:t xml:space="preserve">7.9</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15</w:t>
      </w:r>
      <w:r>
        <w:t xml:space="preserve">), clone sizes (</w:t>
      </w:r>
      <w:r>
        <w:rPr>
          <w:bCs/>
          <w:b/>
        </w:rPr>
        <w:t xml:space="preserve">Figure 16</w:t>
      </w:r>
      <w:r>
        <w:t xml:space="preserve">), and paired tissue measurements (</w:t>
      </w:r>
      <w:r>
        <w:rPr>
          <w:bCs/>
          <w:b/>
        </w:rPr>
        <w:t xml:space="preserve">Figure 17</w:t>
      </w:r>
      <w:r>
        <w:t xml:space="preserve">) within the same individual.</w:t>
      </w:r>
    </w:p>
    <w:tbl>
      <w:tblPr>
        <w:tblStyle w:val="FigureTable"/>
        <w:tblW w:type="auto" w:w="0"/>
        <w:tblLook w:firstRow="0" w:lastRow="0" w:firstColumn="0" w:lastColumn="0"/>
        <w:jc w:val="center"/>
      </w:tblPr>
      <w:tblGrid>
        <w:gridCol w:w="7920"/>
      </w:tblGrid>
      <w:tr>
        <w:tc>
          <w:tcPr/>
          <w:p>
            <w:pPr>
              <w:pStyle w:val="Compact"/>
              <w:jc w:val="center"/>
            </w:pPr>
            <w:r>
              <w:t xml:space="preserve">Figure 15. Within-individual clone count across tissues. For individuals with samples from multiple tissues (e.g., blood and bone marrow in HC1, blood and lung in CD1), clone counts are compared across tissue types within the same individual.</w:t>
            </w:r>
          </w:p>
        </w:tc>
      </w:tr>
    </w:tbl>
    <w:p>
      <w:pPr>
        <w:pStyle w:val="ImageCaption"/>
      </w:pPr>
      <w:r>
        <w:t xml:space="preserve">Figure 15. Within-individual clone count across tissues. For individuals with samples from multiple tissues (e.g., blood and bone marrow in HC1, blood and lung in CD1), clone counts are compared across tissue types within the same individual.</w:t>
      </w:r>
    </w:p>
    <w:tbl>
      <w:tblPr>
        <w:tblStyle w:val="FigureTable"/>
        <w:tblW w:type="auto" w:w="0"/>
        <w:tblLook w:firstRow="0" w:lastRow="0" w:firstColumn="0" w:lastColumn="0"/>
        <w:jc w:val="center"/>
      </w:tblPr>
      <w:tblGrid>
        <w:gridCol w:w="7920"/>
      </w:tblGrid>
      <w:tr>
        <w:tc>
          <w:tcPr/>
          <w:p>
            <w:pPr>
              <w:pStyle w:val="Compact"/>
              <w:jc w:val="center"/>
            </w:pPr>
            <w:r>
              <w:t xml:space="preserve">Figure 16. Within-individual clone size across tissues. Clone size distributions compared between different tissue types within the same individual across studies.</w:t>
            </w:r>
          </w:p>
        </w:tc>
      </w:tr>
    </w:tbl>
    <w:p>
      <w:pPr>
        <w:pStyle w:val="ImageCaption"/>
      </w:pPr>
      <w:r>
        <w:t xml:space="preserve">Figure 16. Within-individual clone size across tissues. Clone size distributions compared between different tissue types within the same individual across studies.</w:t>
      </w:r>
    </w:p>
    <w:tbl>
      <w:tblPr>
        <w:tblStyle w:val="FigureTable"/>
        <w:tblW w:type="auto" w:w="0"/>
        <w:tblLook w:firstRow="0" w:lastRow="0" w:firstColumn="0" w:lastColumn="0"/>
        <w:jc w:val="center"/>
      </w:tblPr>
      <w:tblGrid>
        <w:gridCol w:w="7920"/>
      </w:tblGrid>
      <w:tr>
        <w:tc>
          <w:tcPr/>
          <w:p>
            <w:pPr>
              <w:pStyle w:val="Compact"/>
              <w:jc w:val="center"/>
            </w:pPr>
            <w:r>
              <w:t xml:space="preserve">Figure 17. Within-individual tissue comparison using paired line plots. Lines connect measurements from different tissues within the same individual, illustrating tissue-specific repertoire differences. Each line represents one individual sampled from multiple tissues.</w:t>
            </w:r>
          </w:p>
        </w:tc>
      </w:tr>
    </w:tbl>
    <w:p>
      <w:pPr>
        <w:pStyle w:val="ImageCaption"/>
      </w:pPr>
      <w:r>
        <w:t xml:space="preserve">Figure 17.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49"/>
    <w:bookmarkEnd w:id="50"/>
    <w:bookmarkStart w:id="55" w:name="discussion-and-conclusions"/>
    <w:p>
      <w:pPr>
        <w:pStyle w:val="Heading1"/>
      </w:pPr>
      <w:r>
        <w:rPr>
          <w:rStyle w:val="SectionNumber"/>
        </w:rPr>
        <w:t xml:space="preserve">8</w:t>
      </w:r>
      <w:r>
        <w:tab/>
      </w:r>
      <w:r>
        <w:t xml:space="preserve">Discussion and Conclusions</w:t>
      </w:r>
    </w:p>
    <w:bookmarkStart w:id="51"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51"/>
    <w:bookmarkStart w:id="52"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52"/>
    <w:bookmarkStart w:id="53"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53"/>
    <w:bookmarkStart w:id="54"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54"/>
    <w:bookmarkEnd w:id="55"/>
    <w:bookmarkStart w:id="56"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2026-09-05T09:27:29Z</dcterms:created>
  <dcterms:modified xsi:type="dcterms:W3CDTF">2026-09-05T09:27:29Z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