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For the COVID-19 clonal analysis, we computed the following measures per individual (blood samples only):</w:t>
      </w:r>
    </w:p>
    <w:p>
      <w:pPr>
        <w:numPr>
          <w:ilvl w:val="0"/>
          <w:numId w:val="1004"/>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4"/>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4"/>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4"/>
        </w:numPr>
      </w:pPr>
      <w:r>
        <w:rPr>
          <w:bCs/>
          <w:b/>
        </w:rPr>
        <w:t xml:space="preserve">CDR3 length</w:t>
      </w:r>
      <w:r>
        <w:t xml:space="preserve">: Mean and standard deviation of CDR3 amino acid length across all clones per individual.</w:t>
      </w:r>
    </w:p>
    <w:p>
      <w:pPr>
        <w:numPr>
          <w:ilvl w:val="0"/>
          <w:numId w:val="1004"/>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5"/>
        </w:numPr>
        <w:pStyle w:val="Compact"/>
      </w:pPr>
      <w:r>
        <w:t xml:space="preserve">Severe and Mild individuals span a wide age range (20-88 years), while Recovered and COVID Naive individuals tend to be younger (20-50 years).</w:t>
      </w:r>
    </w:p>
    <w:p>
      <w:pPr>
        <w:numPr>
          <w:ilvl w:val="0"/>
          <w:numId w:val="1005"/>
        </w:numPr>
        <w:pStyle w:val="Compact"/>
      </w:pPr>
      <w:r>
        <w:t xml:space="preserve">The Healthy group has a moderate age range (23-58 years).</w:t>
      </w:r>
    </w:p>
    <w:p>
      <w:pPr>
        <w:numPr>
          <w:ilvl w:val="0"/>
          <w:numId w:val="1005"/>
        </w:numPr>
        <w:pStyle w:val="Compact"/>
      </w:pPr>
      <w:r>
        <w:t xml:space="preserve">Sex data is missing for several individuals in CD3 (shown as X markers), limiting sex-stratified analyses in those disease categories.</w:t>
      </w:r>
    </w:p>
    <w:p>
      <w:pPr>
        <w:numPr>
          <w:ilvl w:val="0"/>
          <w:numId w:val="1005"/>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6"/>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6"/>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6"/>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6"/>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6"/>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6"/>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6"/>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6"/>
        </w:numPr>
      </w:pPr>
      <w:r>
        <w:t xml:space="preserve">Victora, G. D., &amp; Nussenzweig, M. C. (2012). Germinal centers.</w:t>
      </w:r>
      <w:r>
        <w:t xml:space="preserve"> </w:t>
      </w:r>
      <w:r>
        <w:rPr>
          <w:iCs/>
          <w:i/>
        </w:rPr>
        <w:t xml:space="preserve">Annual Review of Immunology</w:t>
      </w:r>
      <w:r>
        <w:t xml:space="preserve">, 30, 429-457.</w:t>
      </w:r>
    </w:p>
    <w:p>
      <w:pPr>
        <w:numPr>
          <w:ilvl w:val="0"/>
          <w:numId w:val="1006"/>
        </w:numPr>
      </w:pPr>
      <w:r>
        <w:t xml:space="preserve">Kim, D., &amp; Park, D. (2019). Deep sequencing of B cell receptor repertoire.</w:t>
      </w:r>
      <w:r>
        <w:t xml:space="preserve"> </w:t>
      </w:r>
      <w:r>
        <w:rPr>
          <w:iCs/>
          <w:i/>
        </w:rPr>
        <w:t xml:space="preserve">BMB Reports</w:t>
      </w:r>
      <w:r>
        <w:t xml:space="preserve">, 52(9), 540-547.</w:t>
      </w:r>
    </w:p>
    <w:p>
      <w:pPr>
        <w:numPr>
          <w:ilvl w:val="0"/>
          <w:numId w:val="1006"/>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6"/>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6"/>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6"/>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6"/>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6"/>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6"/>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6"/>
        </w:numPr>
      </w:pPr>
      <w:r>
        <w:t xml:space="preserve">iReceptor Gateway. https://gateway.ireceptor.org</w:t>
      </w:r>
    </w:p>
    <w:p>
      <w:pPr>
        <w:numPr>
          <w:ilvl w:val="0"/>
          <w:numId w:val="1006"/>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6"/>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6"/>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6"/>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6"/>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6"/>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6"/>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6"/>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6"/>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6"/>
        </w:numPr>
      </w:pPr>
      <w:r>
        <w:t xml:space="preserve">Lambert, M., Surhone, L., Tennoe, M. T., &amp; Henssonow, S. F. (2010).</w:t>
      </w:r>
      <w:r>
        <w:t xml:space="preserve"> </w:t>
      </w:r>
      <w:r>
        <w:rPr>
          <w:iCs/>
          <w:i/>
        </w:rPr>
        <w:t xml:space="preserve">Node.js</w:t>
      </w:r>
      <w:r>
        <w:t xml:space="preserve">. Betascript Publishing.</w:t>
      </w:r>
    </w:p>
    <w:p>
      <w:pPr>
        <w:numPr>
          <w:ilvl w:val="0"/>
          <w:numId w:val="1006"/>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6"/>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6"/>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6"/>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6"/>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6"/>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6"/>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6"/>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6"/>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6"/>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6"/>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6"/>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6"/>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6"/>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6"/>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6"/>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6"/>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6"/>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6"/>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6"/>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6"/>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6"/>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2026-09-05T07:58:46Z</dcterms:created>
  <dcterms:modified xsi:type="dcterms:W3CDTF">2026-09-05T07:58:46Z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