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92.png" ContentType="image/png"/>
  <Override PartName="/word/media/rId95.png" ContentType="image/png"/>
  <Override PartName="/word/media/rId86.png" ContentType="image/png"/>
  <Override PartName="/word/media/rId113.png" ContentType="image/png"/>
  <Override PartName="/word/media/rId116.png" ContentType="image/png"/>
  <Override PartName="/word/media/rId120.png" ContentType="image/png"/>
  <Override PartName="/word/media/rId123.png" ContentType="image/png"/>
  <Override PartName="/word/media/rId126.png" ContentType="image/png"/>
  <Override PartName="/word/media/rId72.png" ContentType="image/png"/>
  <Override PartName="/word/media/rId76.png" ContentType="image/png"/>
  <Override PartName="/word/media/rId98.png" ContentType="image/png"/>
  <Override PartName="/word/media/rId89.png" ContentType="image/png"/>
  <Override PartName="/word/media/rId102.png" ContentType="image/png"/>
  <Override PartName="/word/media/rId106.png" ContentType="image/png"/>
  <Override PartName="/word/media/rId109.png" ContentType="image/png"/>
  <Override PartName="/word/media/rId79.png" ContentType="image/png"/>
  <Override PartName="/word/media/rId69.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Clone count distribution by disease stage.</w:t>
      </w:r>
    </w:p>
    <w:p>
      <w:pPr>
        <w:pStyle w:val="BodyText"/>
      </w:pPr>
      <w:r>
        <w:rPr>
          <w:bCs/>
          <w:b/>
        </w:rPr>
        <w:t xml:space="preserve">Figure 2.</w:t>
      </w:r>
      <w:r>
        <w:t xml:space="preserve"> </w:t>
      </w:r>
      <w:r>
        <w:t xml:space="preserve">Diversity profiles by disease stage.</w:t>
      </w:r>
    </w:p>
    <w:p>
      <w:pPr>
        <w:pStyle w:val="BodyText"/>
      </w:pPr>
      <w:r>
        <w:rPr>
          <w:bCs/>
          <w:b/>
        </w:rPr>
        <w:t xml:space="preserve">Figure 3.</w:t>
      </w:r>
      <w:r>
        <w:t xml:space="preserve"> </w:t>
      </w:r>
      <w:r>
        <w:t xml:space="preserve">Clone size distribution by disease stage.</w:t>
      </w:r>
    </w:p>
    <w:p>
      <w:pPr>
        <w:pStyle w:val="BodyText"/>
      </w:pPr>
      <w:r>
        <w:rPr>
          <w:bCs/>
          <w:b/>
        </w:rPr>
        <w:t xml:space="preserve">Figure 4.</w:t>
      </w:r>
      <w:r>
        <w:t xml:space="preserve"> </w:t>
      </w:r>
      <w:r>
        <w:t xml:space="preserve">Clone size: copies versus unique sequences by disease stage.</w:t>
      </w:r>
    </w:p>
    <w:p>
      <w:pPr>
        <w:pStyle w:val="BodyText"/>
      </w:pPr>
      <w:r>
        <w:rPr>
          <w:bCs/>
          <w:b/>
        </w:rPr>
        <w:t xml:space="preserve">Figure 5.</w:t>
      </w:r>
      <w:r>
        <w:t xml:space="preserve"> </w:t>
      </w:r>
      <w:r>
        <w:t xml:space="preserve">Clonal concentration (Top X) by disease stage.</w:t>
      </w:r>
    </w:p>
    <w:p>
      <w:pPr>
        <w:pStyle w:val="BodyText"/>
      </w:pPr>
      <w:r>
        <w:rPr>
          <w:bCs/>
          <w:b/>
        </w:rPr>
        <w:t xml:space="preserve">Figure 6.</w:t>
      </w:r>
      <w:r>
        <w:t xml:space="preserve"> </w:t>
      </w:r>
      <w:r>
        <w:t xml:space="preserve">CDR3 length by clone size and disease stage (expanded vs. rest).</w:t>
      </w:r>
    </w:p>
    <w:p>
      <w:pPr>
        <w:pStyle w:val="BodyText"/>
      </w:pPr>
      <w:r>
        <w:rPr>
          <w:bCs/>
          <w:b/>
        </w:rPr>
        <w:t xml:space="preserve">Figure 7.</w:t>
      </w:r>
      <w:r>
        <w:t xml:space="preserve"> </w:t>
      </w:r>
      <w:r>
        <w:t xml:space="preserve">CDR3 length distribution: all clones and expanded clones by disease stage.</w:t>
      </w:r>
    </w:p>
    <w:p>
      <w:pPr>
        <w:pStyle w:val="BodyText"/>
      </w:pPr>
      <w:r>
        <w:rPr>
          <w:bCs/>
          <w:b/>
        </w:rPr>
        <w:t xml:space="preserve">Figure 8.</w:t>
      </w:r>
      <w:r>
        <w:t xml:space="preserve"> </w:t>
      </w:r>
      <w:r>
        <w:t xml:space="preserve">CDR3 length of top 10 clones by disease stage.</w:t>
      </w:r>
    </w:p>
    <w:p>
      <w:pPr>
        <w:pStyle w:val="BodyText"/>
      </w:pPr>
      <w:r>
        <w:rPr>
          <w:bCs/>
          <w:b/>
        </w:rPr>
        <w:t xml:space="preserve">Figure 9.</w:t>
      </w:r>
      <w:r>
        <w:t xml:space="preserve"> </w:t>
      </w:r>
      <w:r>
        <w:t xml:space="preserve">CDR3 length range of top 10 clones by disease stage.</w:t>
      </w:r>
    </w:p>
    <w:p>
      <w:pPr>
        <w:pStyle w:val="BodyText"/>
      </w:pPr>
      <w:r>
        <w:rPr>
          <w:bCs/>
          <w:b/>
        </w:rPr>
        <w:t xml:space="preserve">Figure 10.</w:t>
      </w:r>
      <w:r>
        <w:t xml:space="preserve"> </w:t>
      </w:r>
      <w:r>
        <w:t xml:space="preserve">NS/S ratios and mutation counts by disease stage (all clones and expanded vs. rest).</w:t>
      </w:r>
    </w:p>
    <w:p>
      <w:pPr>
        <w:pStyle w:val="BodyText"/>
      </w:pPr>
      <w:r>
        <w:rPr>
          <w:bCs/>
          <w:b/>
        </w:rPr>
        <w:t xml:space="preserve">Figure 11.</w:t>
      </w:r>
      <w:r>
        <w:t xml:space="preserve"> </w:t>
      </w:r>
      <w:r>
        <w:t xml:space="preserve">V gene usage heatmap by disease stage.</w:t>
      </w:r>
    </w:p>
    <w:p>
      <w:pPr>
        <w:pStyle w:val="BodyText"/>
      </w:pPr>
      <w:r>
        <w:rPr>
          <w:bCs/>
          <w:b/>
        </w:rPr>
        <w:t xml:space="preserve">Figure 12.</w:t>
      </w:r>
      <w:r>
        <w:t xml:space="preserve"> </w:t>
      </w:r>
      <w:r>
        <w:t xml:space="preserve">Clonal metrics versus age by disease stage.</w:t>
      </w:r>
    </w:p>
    <w:p>
      <w:pPr>
        <w:pStyle w:val="BodyText"/>
      </w:pPr>
      <w:r>
        <w:rPr>
          <w:bCs/>
          <w:b/>
        </w:rPr>
        <w:t xml:space="preserve">Figure 13.</w:t>
      </w:r>
      <w:r>
        <w:t xml:space="preserve"> </w:t>
      </w:r>
      <w:r>
        <w:t xml:space="preserve">Clonal metrics by gender and disease stage.</w:t>
      </w:r>
    </w:p>
    <w:p>
      <w:pPr>
        <w:pStyle w:val="BodyText"/>
      </w:pPr>
      <w:r>
        <w:rPr>
          <w:bCs/>
          <w:b/>
        </w:rPr>
        <w:t xml:space="preserve">Figure 14.</w:t>
      </w:r>
      <w:r>
        <w:t xml:space="preserve"> </w:t>
      </w:r>
      <w:r>
        <w:t xml:space="preserve">Mutation level in top 10 clones stratified by sex and disease stage.</w:t>
      </w:r>
    </w:p>
    <w:p>
      <w:pPr>
        <w:pStyle w:val="BodyText"/>
      </w:pPr>
      <w:r>
        <w:rPr>
          <w:bCs/>
          <w:b/>
        </w:rPr>
        <w:t xml:space="preserve">Figure 15.</w:t>
      </w:r>
      <w:r>
        <w:t xml:space="preserve"> </w:t>
      </w:r>
      <w:r>
        <w:t xml:space="preserve">CDR3 length in top 10 clones stratified by sex and disease stage.</w:t>
      </w:r>
    </w:p>
    <w:p>
      <w:pPr>
        <w:pStyle w:val="BodyText"/>
      </w:pPr>
      <w:r>
        <w:rPr>
          <w:bCs/>
          <w:b/>
        </w:rPr>
        <w:t xml:space="preserve">Figure 16.</w:t>
      </w:r>
      <w:r>
        <w:t xml:space="preserve"> </w:t>
      </w:r>
      <w:r>
        <w:t xml:space="preserve">Within-individual clone count across tissues.</w:t>
      </w:r>
    </w:p>
    <w:p>
      <w:pPr>
        <w:pStyle w:val="BodyText"/>
      </w:pPr>
      <w:r>
        <w:rPr>
          <w:bCs/>
          <w:b/>
        </w:rPr>
        <w:t xml:space="preserve">Figure 17.</w:t>
      </w:r>
      <w:r>
        <w:t xml:space="preserve"> </w:t>
      </w:r>
      <w:r>
        <w:t xml:space="preserve">Within-individual clone size across tissues.</w:t>
      </w:r>
    </w:p>
    <w:p>
      <w:pPr>
        <w:pStyle w:val="BodyText"/>
      </w:pPr>
      <w:r>
        <w:rPr>
          <w:bCs/>
          <w:b/>
        </w:rPr>
        <w:t xml:space="preserve">Figure 18.</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rPr>
          <w:bCs/>
          <w:b/>
        </w:rPr>
        <w:t xml:space="preserve">Configurable parameters.</w:t>
      </w:r>
      <w:r>
        <w:t xml:space="preserve"> </w:t>
      </w:r>
      <w:r>
        <w:t xml:space="preserve">IS-API is designed to give researchers control over key analysis parameters through the request body, rather than imposing fixed values. The configurable parameters include: (1)</w:t>
      </w:r>
      <w:r>
        <w:t xml:space="preserve"> </w:t>
      </w:r>
      <w:r>
        <w:rPr>
          <w:iCs/>
          <w:i/>
        </w:rPr>
        <w:t xml:space="preserve">clone_size</w:t>
      </w:r>
      <w:r>
        <w:t xml:space="preserve"> </w:t>
      </w:r>
      <w:r>
        <w:t xml:space="preserve">supports three measurement modes — unique sequences (distinct sequences across an entire individual, reflecting overall diversity), instances (distinct sequences within a single sample, capturing sample-level diversity), or copy number (raw read counts, reflecting sequence abundance); (2) the expansion threshold in</w:t>
      </w:r>
      <w:r>
        <w:t xml:space="preserve"> </w:t>
      </w:r>
      <w:r>
        <w:rPr>
          <w:iCs/>
          <w:i/>
        </w:rPr>
        <w:t xml:space="preserve">clone_count</w:t>
      </w:r>
      <w:r>
        <w:t xml:space="preserve"> </w:t>
      </w:r>
      <w:r>
        <w:t xml:space="preserve">and the clone-size-stratified endpoints (</w:t>
      </w:r>
      <w:r>
        <w:rPr>
          <w:iCs/>
          <w:i/>
        </w:rPr>
        <w:t xml:space="preserve">cdr3_by_clone_size</w:t>
      </w:r>
      <w:r>
        <w:t xml:space="preserve">,</w:t>
      </w:r>
      <w:r>
        <w:t xml:space="preserve"> </w:t>
      </w:r>
      <w:r>
        <w:rPr>
          <w:iCs/>
          <w:i/>
        </w:rPr>
        <w:t xml:space="preserve">mutation_rs_by_clone_size</w:t>
      </w:r>
      <w:r>
        <w:t xml:space="preserve">) is set via the</w:t>
      </w:r>
      <w:r>
        <w:t xml:space="preserve"> </w:t>
      </w:r>
      <w:r>
        <w:rPr>
          <w:rStyle w:val="VerbatimChar"/>
        </w:rPr>
        <w:t xml:space="preserve">min_clone_size</w:t>
      </w:r>
      <w:r>
        <w:t xml:space="preserve"> </w:t>
      </w:r>
      <w:r>
        <w:t xml:space="preserve">parameter (default: 20), allowing researchers to define what constitutes an</w:t>
      </w:r>
      <w:r>
        <w:t xml:space="preserve"> </w:t>
      </w:r>
      <w:r>
        <w:t xml:space="preserve">“</w:t>
      </w:r>
      <w:r>
        <w:t xml:space="preserve">expanded</w:t>
      </w:r>
      <w:r>
        <w:t xml:space="preserve">”</w:t>
      </w:r>
      <w:r>
        <w:t xml:space="preserve"> </w:t>
      </w:r>
      <w:r>
        <w:t xml:space="preserve">clone at any threshold; (3) a</w:t>
      </w:r>
      <w:r>
        <w:t xml:space="preserve"> </w:t>
      </w:r>
      <w:r>
        <w:rPr>
          <w:rStyle w:val="VerbatimChar"/>
        </w:rPr>
        <w:t xml:space="preserve">min_expanded_clones</w:t>
      </w:r>
      <w:r>
        <w:t xml:space="preserve"> </w:t>
      </w:r>
      <w:r>
        <w:t xml:space="preserve">parameter filters out individuals with too few expanded clones at the chosen threshold; (4) the Top X ranks in the</w:t>
      </w:r>
      <w:r>
        <w:t xml:space="preserve"> </w:t>
      </w:r>
      <w:r>
        <w:rPr>
          <w:iCs/>
          <w:i/>
        </w:rPr>
        <w:t xml:space="preserve">topX</w:t>
      </w:r>
      <w:r>
        <w:t xml:space="preserve"> </w:t>
      </w:r>
      <w:r>
        <w:t xml:space="preserve">endpoints (default: 10, 100, 1000) can be adjusted to examine clones at different ranks of the size distribution; (5) all endpoints accept arbitrary</w:t>
      </w:r>
      <w:r>
        <w:t xml:space="preserve"> </w:t>
      </w:r>
      <w:r>
        <w:rPr>
          <w:rStyle w:val="VerbatimChar"/>
        </w:rPr>
        <w:t xml:space="preserve">meta_key</w:t>
      </w:r>
      <w:r>
        <w:t xml:space="preserve">/</w:t>
      </w:r>
      <w:r>
        <w:rPr>
          <w:rStyle w:val="VerbatimChar"/>
        </w:rPr>
        <w:t xml:space="preserve">meta_value</w:t>
      </w:r>
      <w:r>
        <w:t xml:space="preserve"> </w:t>
      </w:r>
      <w:r>
        <w:t xml:space="preserve">combinations for cross-stratified filtering.</w:t>
      </w:r>
    </w:p>
    <w:p>
      <w:pPr>
        <w:pStyle w:val="BodyText"/>
      </w:pPr>
      <w:r>
        <w:t xml:space="preserve">CDR and FW region boundaries follow the ImmuneDB database schema, where CDR is defined as the sum of CDR1, CDR2, and CDR3 regions, and FW is defined as FW1 + FW2 + FW3 + FW4. These boundaries are determined by the upstream IgBLAST annotation and stored in the ImmuneDB</w:t>
      </w:r>
      <w:r>
        <w:t xml:space="preserve"> </w:t>
      </w:r>
      <w:r>
        <w:rPr>
          <w:rStyle w:val="VerbatimChar"/>
        </w:rPr>
        <w:t xml:space="preserve">clone_stats.mutations</w:t>
      </w:r>
      <w:r>
        <w:t xml:space="preserve"> </w:t>
      </w:r>
      <w:r>
        <w:t xml:space="preserve">JSON field, so they are not adjustable at the API level.</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IS-API returns per-individual, per-metadata-group measurements in a structured JSON format. Most of the biological measures used in this analysis are returned directly by the API endpoints, while some require additional client-side computation from the API output.</w:t>
      </w:r>
    </w:p>
    <w:p>
      <w:pPr>
        <w:pStyle w:val="BodyText"/>
      </w:pPr>
      <w:r>
        <w:rPr>
          <w:bCs/>
          <w:b/>
        </w:rPr>
        <w:t xml:space="preserve">Measures returned directly by the API:</w:t>
      </w:r>
    </w:p>
    <w:p>
      <w:pPr>
        <w:numPr>
          <w:ilvl w:val="0"/>
          <w:numId w:val="1004"/>
        </w:numPr>
      </w:pPr>
      <w:r>
        <w:rPr>
          <w:bCs/>
          <w:b/>
        </w:rPr>
        <w:t xml:space="preserve">Clone count and expanded clone count</w:t>
      </w:r>
      <w:r>
        <w:t xml:space="preserve">: The</w:t>
      </w:r>
      <w:r>
        <w:t xml:space="preserve"> </w:t>
      </w:r>
      <w:r>
        <w:rPr>
          <w:iCs/>
          <w:i/>
        </w:rPr>
        <w:t xml:space="preserve">clone_count</w:t>
      </w:r>
      <w:r>
        <w:t xml:space="preserve"> </w:t>
      </w:r>
      <w:r>
        <w:t xml:space="preserve">endpoint returns the number of distinct clones exceeding the expansion threshold per individual. By adjusting the threshold, researchers can examine expansion at multiple levels (e.g., 20, 50, 100 unique sequences).</w:t>
      </w:r>
    </w:p>
    <w:p>
      <w:pPr>
        <w:numPr>
          <w:ilvl w:val="0"/>
          <w:numId w:val="1004"/>
        </w:numPr>
      </w:pPr>
      <w:r>
        <w:rPr>
          <w:bCs/>
          <w:b/>
        </w:rPr>
        <w:t xml:space="preserve">Clone size distribution</w:t>
      </w:r>
      <w:r>
        <w:t xml:space="preserve">: The</w:t>
      </w:r>
      <w:r>
        <w:t xml:space="preserve"> </w:t>
      </w:r>
      <w:r>
        <w:rPr>
          <w:iCs/>
          <w:i/>
        </w:rPr>
        <w:t xml:space="preserve">clone_size</w:t>
      </w:r>
      <w:r>
        <w:t xml:space="preserve"> </w:t>
      </w:r>
      <w:r>
        <w:t xml:space="preserve">endpoint returns the size of each clone per individual, providing the raw distribution from which any summary statistic can be derived.</w:t>
      </w:r>
    </w:p>
    <w:p>
      <w:pPr>
        <w:numPr>
          <w:ilvl w:val="0"/>
          <w:numId w:val="1004"/>
        </w:numPr>
      </w:pPr>
      <w:r>
        <w:rPr>
          <w:bCs/>
          <w:b/>
        </w:rPr>
        <w:t xml:space="preserve">CDR3 length</w:t>
      </w:r>
      <w:r>
        <w:t xml:space="preserve">: The</w:t>
      </w:r>
      <w:r>
        <w:t xml:space="preserve"> </w:t>
      </w:r>
      <w:r>
        <w:rPr>
          <w:iCs/>
          <w:i/>
        </w:rPr>
        <w:t xml:space="preserve">cdr3_length_distribution</w:t>
      </w:r>
      <w:r>
        <w:t xml:space="preserve"> </w:t>
      </w:r>
      <w:r>
        <w:t xml:space="preserve">endpoint returns mean and standard deviation of CDR3 length (both amino acid and nucleotide) per individual. The</w:t>
      </w:r>
      <w:r>
        <w:t xml:space="preserve"> </w:t>
      </w:r>
      <w:r>
        <w:rPr>
          <w:iCs/>
          <w:i/>
        </w:rPr>
        <w:t xml:space="preserve">topX</w:t>
      </w:r>
      <w:r>
        <w:t xml:space="preserve"> </w:t>
      </w:r>
      <w:r>
        <w:t xml:space="preserve">CDR3 endpoints return average CDR3 lengths for the top 10, 100, and 1000 clones. The</w:t>
      </w:r>
      <w:r>
        <w:t xml:space="preserve"> </w:t>
      </w:r>
      <w:r>
        <w:rPr>
          <w:iCs/>
          <w:i/>
        </w:rPr>
        <w:t xml:space="preserve">cdr3_by_clone_size</w:t>
      </w:r>
      <w:r>
        <w:t xml:space="preserve"> </w:t>
      </w:r>
      <w:r>
        <w:t xml:space="preserve">endpoint returns mean and standard deviation of CDR3 length separately for expanded and non-expanded clones.</w:t>
      </w:r>
    </w:p>
    <w:p>
      <w:pPr>
        <w:numPr>
          <w:ilvl w:val="0"/>
          <w:numId w:val="1004"/>
        </w:numPr>
      </w:pPr>
      <w:r>
        <w:rPr>
          <w:bCs/>
          <w:b/>
        </w:rPr>
        <w:t xml:space="preserve">Mutation counts and NS/S ratios</w:t>
      </w:r>
      <w:r>
        <w:t xml:space="preserve">: The mutation endpoints return per-individual averages of mutation counts split by region (CDR, FW) and type (NS, S). The</w:t>
      </w:r>
      <w:r>
        <w:t xml:space="preserve"> </w:t>
      </w:r>
      <w:r>
        <w:rPr>
          <w:iCs/>
          <w:i/>
        </w:rPr>
        <w:t xml:space="preserve">mutation_cdr_rs_ratio</w:t>
      </w:r>
      <w:r>
        <w:t xml:space="preserve"> </w:t>
      </w:r>
      <w:r>
        <w:t xml:space="preserve">endpoint provides NS and S counts in CDR and FW regions separately, from which NS/S ratios are computed. The</w:t>
      </w:r>
      <w:r>
        <w:t xml:space="preserve"> </w:t>
      </w:r>
      <w:r>
        <w:rPr>
          <w:iCs/>
          <w:i/>
        </w:rPr>
        <w:t xml:space="preserve">mutation_rs_by_clone_size</w:t>
      </w:r>
      <w:r>
        <w:t xml:space="preserve"> </w:t>
      </w:r>
      <w:r>
        <w:t xml:space="preserve">endpoint provides the same breakdown stratified by clone expansion status.</w:t>
      </w:r>
    </w:p>
    <w:p>
      <w:pPr>
        <w:numPr>
          <w:ilvl w:val="0"/>
          <w:numId w:val="1004"/>
        </w:numPr>
      </w:pPr>
      <w:r>
        <w:rPr>
          <w:bCs/>
          <w:b/>
        </w:rPr>
        <w:t xml:space="preserve">V gene usage</w:t>
      </w:r>
      <w:r>
        <w:t xml:space="preserve">: The</w:t>
      </w:r>
      <w:r>
        <w:t xml:space="preserve"> </w:t>
      </w:r>
      <w:r>
        <w:rPr>
          <w:iCs/>
          <w:i/>
        </w:rPr>
        <w:t xml:space="preserve">v_gene_usage</w:t>
      </w:r>
      <w:r>
        <w:t xml:space="preserve"> </w:t>
      </w:r>
      <w:r>
        <w:t xml:space="preserve">endpoint returns clone count and total copies per V gene segment per individual.</w:t>
      </w:r>
    </w:p>
    <w:p>
      <w:pPr>
        <w:pStyle w:val="FirstParagraph"/>
      </w:pPr>
      <w:r>
        <w:rPr>
          <w:bCs/>
          <w:b/>
        </w:rPr>
        <w:t xml:space="preserve">Measures computed client-side from API output:</w:t>
      </w:r>
    </w:p>
    <w:p>
      <w:pPr>
        <w:numPr>
          <w:ilvl w:val="0"/>
          <w:numId w:val="1005"/>
        </w:numPr>
        <w:pStyle w:val="Compact"/>
      </w:pPr>
      <w:r>
        <w:rPr>
          <w:bCs/>
          <w:b/>
        </w:rPr>
        <w:t xml:space="preserve">Clonal diversity (Hill numbers)</w:t>
      </w:r>
      <w:r>
        <w:t xml:space="preserve">: From the clone size distribution returned by the API, we computed Hill numbers of orders 0, 1, and 2 for each individual.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pStyle w:val="FirstParagraph"/>
      </w:pPr>
      <w:r>
        <w:rPr>
          <w:bCs/>
          <w:b/>
        </w:rPr>
        <w:t xml:space="preserve">Beyond this analysis.</w:t>
      </w:r>
      <w:r>
        <w:t xml:space="preserve"> </w:t>
      </w:r>
      <w:r>
        <w:t xml:space="preserve">Several endpoints already return variance measures directly — for example,</w:t>
      </w:r>
      <w:r>
        <w:t xml:space="preserve"> </w:t>
      </w:r>
      <w:r>
        <w:rPr>
          <w:rStyle w:val="VerbatimChar"/>
        </w:rPr>
        <w:t xml:space="preserve">cdr3_length_distribution</w:t>
      </w:r>
      <w:r>
        <w:t xml:space="preserve"> </w:t>
      </w:r>
      <w:r>
        <w:t xml:space="preserve">and</w:t>
      </w:r>
      <w:r>
        <w:t xml:space="preserve"> </w:t>
      </w:r>
      <w:r>
        <w:rPr>
          <w:rStyle w:val="VerbatimChar"/>
        </w:rPr>
        <w:t xml:space="preserve">cdr3_by_clone_size</w:t>
      </w:r>
      <w:r>
        <w:t xml:space="preserve"> </w:t>
      </w:r>
      <w:r>
        <w:t xml:space="preserve">return the standard deviation of CDR3 length per individual, enabling immediate comparison of within-individual variability across groups. Because IS-API returns per-individual measurements across arbitrary metadata groupings, researchers can use the output as the starting point for a wide range of additional downstream analyses beyond those presented here. The clone size distributions can be used to compute coefficient of variation across individuals within a group, test for differences in distributional shape (not just central tendency), or fit parametric models of clonal expansion. The per-individual mutation and CDR3 data enable correlation analyses between measures (e.g., whether individuals with higher mutation loads also have shorter CDR3 lengths), regression models incorporating multiple covariates (age, sex, disease stage), and longitudinal tracking when time-series metadata is available. Cross-stratified queries (e.g., tissue × disease stage × sex) enable factorial designs that test for interaction effects. In general, any statistical question that can be framed in terms of per-individual repertoire measurements across metadata-defined groups can be addressed using the IS-API output.</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30"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3</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section (see Age and Gender Analysis in Results).</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5" w:name="clonal-diversity-and-clone-count"/>
    <w:p>
      <w:pPr>
        <w:pStyle w:val="Heading2"/>
      </w:pPr>
      <w:r>
        <w:rPr>
          <w:rStyle w:val="SectionNumber"/>
        </w:rPr>
        <w:t xml:space="preserve">7.2</w:t>
      </w:r>
      <w:r>
        <w:tab/>
      </w:r>
      <w:r>
        <w:t xml:space="preserve">Clonal Diversity and Clone Count</w:t>
      </w:r>
    </w:p>
    <w:p>
      <w:pPr>
        <w:pStyle w:val="FirstParagraph"/>
      </w:pPr>
      <w:r>
        <w:rPr>
          <w:bCs/>
          <w:b/>
        </w:rPr>
        <w:t xml:space="preserve">Clone count by disease stage.</w:t>
      </w:r>
      <w:r>
        <w:t xml:space="preserve"> </w:t>
      </w:r>
      <w:r>
        <w:t xml:space="preserve">IS-API’s clone_count endpoint returns the total number of unique clones per individual. The clone count distribution (</w:t>
      </w:r>
      <w:r>
        <w:rPr>
          <w:bCs/>
          <w:b/>
        </w:rPr>
        <w:t xml:space="preserve">Figure 2</w:t>
      </w:r>
      <w:r>
        <w:t xml:space="preserve">) revealed highly significant differences across disease categories (Kruskal-Wallis p &lt; 0.0001). Mild individuals had the fewest clones (median 2,228), while Recovered (median 22,177), Healthy (median 20,735), and COVID Naive (median 16,682) individuals had substantially higher clone counts. Severe (median 5,089) and Moderate (median 6,184) individuals fell between these extremes. The low clone counts in the Mild group, combined with the high variability spanning two orders of magnitude (from ~100 to ~6,000), suggest that Mild COVID-19 may be associated with more restricted repertoire sampling or reduced clonal diversity. The consistently high clone counts in Recovered, Healthy, and COVID Naive individuals indicate that these groups maintain broader repertoire diversity.</w:t>
      </w:r>
    </w:p>
    <w:p>
      <w:pPr>
        <w:pStyle w:val="CaptionedFigure"/>
      </w:pPr>
      <w:r>
        <w:drawing>
          <wp:inline>
            <wp:extent cx="5334000" cy="3371031"/>
            <wp:effectExtent b="0" l="0" r="0" t="0"/>
            <wp:docPr descr="Figure 1. Clone count distribution by disease stage. Total number of unique clones per individual (log scale) across six disease categories. Each dot represents one individual; boxplots show median and IQR. Kruskal-Wallis p-value annotated. Blood samples only." title="" id="70" name="Picture"/>
            <a:graphic>
              <a:graphicData uri="http://schemas.openxmlformats.org/drawingml/2006/picture">
                <pic:pic>
                  <pic:nvPicPr>
                    <pic:cNvPr descr="../immunedb_STATS_API/clonal_analysis/plots/27_clone_count_by_disease.png" id="71" name="Picture"/>
                    <pic:cNvPicPr>
                      <a:picLocks noChangeArrowheads="1" noChangeAspect="1"/>
                    </pic:cNvPicPr>
                  </pic:nvPicPr>
                  <pic:blipFill>
                    <a:blip r:embed="rId69"/>
                    <a:stretch>
                      <a:fillRect/>
                    </a:stretch>
                  </pic:blipFill>
                  <pic:spPr bwMode="auto">
                    <a:xfrm>
                      <a:off x="0" y="0"/>
                      <a:ext cx="5334000" cy="3371031"/>
                    </a:xfrm>
                    <a:prstGeom prst="rect">
                      <a:avLst/>
                    </a:prstGeom>
                    <a:noFill/>
                    <a:ln w="9525">
                      <a:noFill/>
                      <a:headEnd/>
                      <a:tailEnd/>
                    </a:ln>
                  </pic:spPr>
                </pic:pic>
              </a:graphicData>
            </a:graphic>
          </wp:inline>
        </w:drawing>
      </w:r>
    </w:p>
    <w:p>
      <w:pPr>
        <w:pStyle w:val="ImageCaption"/>
      </w:pPr>
      <w:r>
        <w:t xml:space="preserve">Figure 1. Clone count distribution by disease stage. Total number of unique clones per individual (log scale) across six disease categories. Each dot represents one individual; boxplots show median and IQR. Kruskal-Wallis p-value annotated. Blood samples only.</w:t>
      </w:r>
    </w:p>
    <w:p>
      <w:pPr>
        <w:pStyle w:val="BodyText"/>
      </w:pPr>
      <w:r>
        <w:rPr>
          <w:bCs/>
          <w:b/>
        </w:rPr>
        <w:t xml:space="preserve">Clonal diversity profiles.</w:t>
      </w:r>
      <w:r>
        <w:t xml:space="preserve"> </w:t>
      </w:r>
      <w:r>
        <w:t xml:space="preserve">To assess clonal diversity, we computed Hill numbers of orders 0 (richness), 1 (Shannon), and 2 (Simpson) from the clone size distribution of each individual. The diversity profiles (</w:t>
      </w:r>
      <w:r>
        <w:rPr>
          <w:bCs/>
          <w:b/>
        </w:rPr>
        <w:t xml:space="preserve">Figure 2</w:t>
      </w:r>
      <w:r>
        <w:t xml:space="preserve">) plot all three Hill numbers for each individual with group medians highlighted. 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3" name="Picture"/>
            <a:graphic>
              <a:graphicData uri="http://schemas.openxmlformats.org/drawingml/2006/picture">
                <pic:pic>
                  <pic:nvPicPr>
                    <pic:cNvPr descr="../immunedb_STATS_API/clonal_analysis/plots/18_diversity_profiles.png" id="74" name="Picture"/>
                    <pic:cNvPicPr>
                      <a:picLocks noChangeArrowheads="1" noChangeAspect="1"/>
                    </pic:cNvPicPr>
                  </pic:nvPicPr>
                  <pic:blipFill>
                    <a:blip r:embed="rId72"/>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2.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5"/>
    <w:bookmarkStart w:id="85"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At the lowest threshold (&gt;20 unique sequences), 100% of individuals across all disease categories had at least one expanded clone, confirming that clonal expansion is a universal feature of BCR repertoires regardless of disease status. Raising the threshold to &gt;50 unique sequences began to separate the groups: some individuals in the Mild and Recovered categories lost all expanded clones, while COVID Naive and Healthy individuals retained multiple expanded clones at this stricter cutoff. At the most stringent threshold (&gt;100 unique sequences), the separation became more pronounced — COVID Naive individuals consistently maintained more highly expanded clones than all disease groups, and several Mild and Recovered individuals had none. This threshold-dependent pattern suggests that while low-level expansion is ubiquitous, sustained large-scale clonal expansion is more characteristic of non-disease repertoires.</w:t>
      </w:r>
    </w:p>
    <w:p>
      <w:pPr>
        <w:pStyle w:val="BodyText"/>
      </w:pPr>
      <w:r>
        <w:rPr>
          <w:bCs/>
          <w:b/>
        </w:rPr>
        <w:t xml:space="preserve">Clone size distribution.</w:t>
      </w:r>
      <w:r>
        <w:t xml:space="preserve"> </w:t>
      </w:r>
      <w:r>
        <w:t xml:space="preserve">The clone size distribution analysis (</w:t>
      </w:r>
      <w:r>
        <w:rPr>
          <w:bCs/>
          <w:b/>
        </w:rPr>
        <w:t xml:space="preserve">Figure 3</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79599"/>
            <wp:effectExtent b="0" l="0" r="0" t="0"/>
            <wp:docPr descr="Figure 3.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77" name="Picture"/>
            <a:graphic>
              <a:graphicData uri="http://schemas.openxmlformats.org/drawingml/2006/picture">
                <pic:pic>
                  <pic:nvPicPr>
                    <pic:cNvPr descr="../immunedb_STATS_API/clonal_analysis/plots/20_clone_size_distribution.png" id="78" name="Picture"/>
                    <pic:cNvPicPr>
                      <a:picLocks noChangeArrowheads="1" noChangeAspect="1"/>
                    </pic:cNvPicPr>
                  </pic:nvPicPr>
                  <pic:blipFill>
                    <a:blip r:embed="rId76"/>
                    <a:stretch>
                      <a:fillRect/>
                    </a:stretch>
                  </pic:blipFill>
                  <pic:spPr bwMode="auto">
                    <a:xfrm>
                      <a:off x="0" y="0"/>
                      <a:ext cx="5334000" cy="2379599"/>
                    </a:xfrm>
                    <a:prstGeom prst="rect">
                      <a:avLst/>
                    </a:prstGeom>
                    <a:noFill/>
                    <a:ln w="9525">
                      <a:noFill/>
                      <a:headEnd/>
                      <a:tailEnd/>
                    </a:ln>
                  </pic:spPr>
                </pic:pic>
              </a:graphicData>
            </a:graphic>
          </wp:inline>
        </w:drawing>
      </w:r>
    </w:p>
    <w:p>
      <w:pPr>
        <w:pStyle w:val="ImageCaption"/>
      </w:pPr>
      <w:r>
        <w:t xml:space="preserve">Figure 3.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4</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4.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80" name="Picture"/>
            <a:graphic>
              <a:graphicData uri="http://schemas.openxmlformats.org/drawingml/2006/picture">
                <pic:pic>
                  <pic:nvPicPr>
                    <pic:cNvPr descr="../immunedb_STATS_API/clonal_analysis/plots/26_copies_vs_unique.png" id="81" name="Picture"/>
                    <pic:cNvPicPr>
                      <a:picLocks noChangeArrowheads="1" noChangeAspect="1"/>
                    </pic:cNvPicPr>
                  </pic:nvPicPr>
                  <pic:blipFill>
                    <a:blip r:embed="rId79"/>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4.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5</w:t>
      </w:r>
      <w:r>
        <w:t xml:space="preserve">), revealing the degree of oligoclonal dominance in each disease category.</w:t>
      </w:r>
    </w:p>
    <w:p>
      <w:pPr>
        <w:pStyle w:val="CaptionedFigure"/>
      </w:pPr>
      <w:r>
        <w:drawing>
          <wp:inline>
            <wp:extent cx="5334000" cy="1641230"/>
            <wp:effectExtent b="0" l="0" r="0" t="0"/>
            <wp:docPr descr="Figure 5. Clonal concentration: fraction of total sequence copies accounted for by the top 10, top 100, and top 1000 clones per individual, shown as stacked bars by disease stage. Higher values indicate greater oligoclonal dominance. Each bar represents one individual." title="" id="83" name="Picture"/>
            <a:graphic>
              <a:graphicData uri="http://schemas.openxmlformats.org/drawingml/2006/picture">
                <pic:pic>
                  <pic:nvPicPr>
                    <pic:cNvPr descr="../immunedb_STATS_API/clonal_analysis/plots/02_topX_stacked_by_disease.png" id="84" name="Picture"/>
                    <pic:cNvPicPr>
                      <a:picLocks noChangeArrowheads="1" noChangeAspect="1"/>
                    </pic:cNvPicPr>
                  </pic:nvPicPr>
                  <pic:blipFill>
                    <a:blip r:embed="rId82"/>
                    <a:stretch>
                      <a:fillRect/>
                    </a:stretch>
                  </pic:blipFill>
                  <pic:spPr bwMode="auto">
                    <a:xfrm>
                      <a:off x="0" y="0"/>
                      <a:ext cx="5334000" cy="1641230"/>
                    </a:xfrm>
                    <a:prstGeom prst="rect">
                      <a:avLst/>
                    </a:prstGeom>
                    <a:noFill/>
                    <a:ln w="9525">
                      <a:noFill/>
                      <a:headEnd/>
                      <a:tailEnd/>
                    </a:ln>
                  </pic:spPr>
                </pic:pic>
              </a:graphicData>
            </a:graphic>
          </wp:inline>
        </w:drawing>
      </w:r>
    </w:p>
    <w:p>
      <w:pPr>
        <w:pStyle w:val="ImageCaption"/>
      </w:pPr>
      <w:r>
        <w:t xml:space="preserve">Figure 5. Clonal concentration: fraction of total sequence copies accounted for by the top 10, top 100, and top 1000 clones per individual, shown as stacked bars by disease stage. Higher values indicate greater oligoclonal dominance. Each bar represents one individual.</w:t>
      </w:r>
    </w:p>
    <w:bookmarkEnd w:id="85"/>
    <w:bookmarkStart w:id="101" w:name="cdr3-length-and-mutation-analysis"/>
    <w:p>
      <w:pPr>
        <w:pStyle w:val="Heading2"/>
      </w:pPr>
      <w:r>
        <w:rPr>
          <w:rStyle w:val="SectionNumber"/>
        </w:rPr>
        <w:t xml:space="preserve">7.4</w:t>
      </w:r>
      <w:r>
        <w:tab/>
      </w:r>
      <w:r>
        <w:t xml:space="preserve">CDR3 Length and Mutation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making it suitable for cross-group comparison — we next examined CDR3 length and somatic hypermutation patterns across disease categories. IS-API’s CDR3 and mutation endpoints enable analysis at multiple levels: all clones per individual, expanded versus non-expanded clones, and the top 10 most expanded clones.</w:t>
      </w:r>
    </w:p>
    <w:p>
      <w:pPr>
        <w:pStyle w:val="BodyText"/>
      </w:pPr>
      <w:r>
        <w:rPr>
          <w:bCs/>
          <w:b/>
        </w:rPr>
        <w:t xml:space="preserve">CDR3 length: expanded versus non-expanded clones.</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6</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6.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87" name="Picture"/>
            <a:graphic>
              <a:graphicData uri="http://schemas.openxmlformats.org/drawingml/2006/picture">
                <pic:pic>
                  <pic:nvPicPr>
                    <pic:cNvPr descr="../immunedb_STATS_API/clonal_analysis/plots/09_cdr3_expanded_vs_rest.png" id="88" name="Picture"/>
                    <pic:cNvPicPr>
                      <a:picLocks noChangeArrowheads="1" noChangeAspect="1"/>
                    </pic:cNvPicPr>
                  </pic:nvPicPr>
                  <pic:blipFill>
                    <a:blip r:embed="rId86"/>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6.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CDR3 length distribution: all clones versus expanded clones.</w:t>
      </w:r>
      <w:r>
        <w:t xml:space="preserve"> </w:t>
      </w:r>
      <w:r>
        <w:t xml:space="preserve">To place the expanded-clone CDR3 differences in context, we examined the full CDR3 length distribution per individual (</w:t>
      </w:r>
      <w:r>
        <w:rPr>
          <w:bCs/>
          <w:b/>
        </w:rPr>
        <w:t xml:space="preserve">Figure 7</w:t>
      </w:r>
      <w:r>
        <w:t xml:space="preserve">). Panels A and B show that across all clones, mean CDR3 length differed significantly across disease categories (Kruskal-Wallis p &lt; 0.0001): Moderate individuals had the longest mean CDR3 lengths (median 17.8 AA), while Mild and Healthy individuals had shorter CDR3 (median ~17.0 AA). The standard deviation of CDR3 length also varied (p = 0.0009), with Severe individuals showing the highest within-individual variability. Panels C and D restrict the analysis to expanded clones (≥20 unique sequences). The disease-stage differences became more pronounced (Kruskal-Wallis p = 0.0008 for both mean and SD): Healthy individuals showed dramatically shorter expanded-clone CDR3 lengths (median 14.4 AA) compared to disease groups (16–18 AA), and Severe individuals had the highest expanded-clone CDR3 variability (median SD ~4.5 AA), suggesting a more structurally diverse set of expanded clones during acute infection.</w:t>
      </w:r>
    </w:p>
    <w:p>
      <w:pPr>
        <w:pStyle w:val="CaptionedFigure"/>
      </w:pPr>
      <w:r>
        <w:drawing>
          <wp:inline>
            <wp:extent cx="5334000" cy="4174318"/>
            <wp:effectExtent b="0" l="0" r="0" t="0"/>
            <wp:docPr descr="Figure 7.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 title="" id="90" name="Picture"/>
            <a:graphic>
              <a:graphicData uri="http://schemas.openxmlformats.org/drawingml/2006/picture">
                <pic:pic>
                  <pic:nvPicPr>
                    <pic:cNvPr descr="../immunedb_STATS_API/clonal_analysis/plots/22_cdr3_length_distribution.png" id="91" name="Picture"/>
                    <pic:cNvPicPr>
                      <a:picLocks noChangeArrowheads="1" noChangeAspect="1"/>
                    </pic:cNvPicPr>
                  </pic:nvPicPr>
                  <pic:blipFill>
                    <a:blip r:embed="rId89"/>
                    <a:stretch>
                      <a:fillRect/>
                    </a:stretch>
                  </pic:blipFill>
                  <pic:spPr bwMode="auto">
                    <a:xfrm>
                      <a:off x="0" y="0"/>
                      <a:ext cx="5334000" cy="4174318"/>
                    </a:xfrm>
                    <a:prstGeom prst="rect">
                      <a:avLst/>
                    </a:prstGeom>
                    <a:noFill/>
                    <a:ln w="9525">
                      <a:noFill/>
                      <a:headEnd/>
                      <a:tailEnd/>
                    </a:ln>
                  </pic:spPr>
                </pic:pic>
              </a:graphicData>
            </a:graphic>
          </wp:inline>
        </w:drawing>
      </w:r>
    </w:p>
    <w:p>
      <w:pPr>
        <w:pStyle w:val="ImageCaption"/>
      </w:pPr>
      <w:r>
        <w:t xml:space="preserve">Figure 7. CDR3 amino acid length distribution by disease stage. Panels A–B: all clones — mean CDR3 length (A) and standard deviation (B) per individual. Panels C–D: expanded clones only (≥20 unique sequences) — mean CDR3 length (C) and standard deviation (D). Each dot represents one individual; boxplots show median and IQR. Kruskal-Wallis p-values annotated. Blood samples only.</w:t>
      </w:r>
    </w:p>
    <w:p>
      <w:pPr>
        <w:pStyle w:val="BodyText"/>
      </w:pPr>
      <w:r>
        <w:rPr>
          <w:bCs/>
          <w:b/>
        </w:rPr>
        <w:t xml:space="preserve">CDR3 length in the top 10 clones.</w:t>
      </w:r>
      <w:r>
        <w:t xml:space="preserve"> </w:t>
      </w:r>
      <w:r>
        <w:t xml:space="preserve">Focusing on the most expanded clones per individual, the CDR3 endpoint returned the average CDR3 length (in amino acids) of the top 10 clones (</w:t>
      </w:r>
      <w:r>
        <w:rPr>
          <w:bCs/>
          <w:b/>
        </w:rPr>
        <w:t xml:space="preserve">Figure 8</w:t>
      </w:r>
      <w:r>
        <w:t xml:space="preserve">), along with the range of CDR3 lengths (</w:t>
      </w:r>
      <w:r>
        <w:rPr>
          <w:bCs/>
          <w:b/>
        </w:rPr>
        <w:t xml:space="preserve">Figure 9</w:t>
      </w:r>
      <w:r>
        <w:t xml:space="preserve">). These figures characterize the antigen-binding loop properties of the most dominant clones across disease categories.</w:t>
      </w:r>
    </w:p>
    <w:p>
      <w:pPr>
        <w:pStyle w:val="CaptionedFigure"/>
      </w:pPr>
      <w:r>
        <w:drawing>
          <wp:inline>
            <wp:extent cx="5334000" cy="3048000"/>
            <wp:effectExtent b="0" l="0" r="0" t="0"/>
            <wp:docPr descr="Figure 8. Mean CDR3 amino acid length of the top 10 clones per individual, grouped by disease stage. Each dot represents one individual; boxplots show median and IQR. CDR3 length reflects the antigen-binding loop size of the most expanded clones." title="" id="93" name="Picture"/>
            <a:graphic>
              <a:graphicData uri="http://schemas.openxmlformats.org/drawingml/2006/picture">
                <pic:pic>
                  <pic:nvPicPr>
                    <pic:cNvPr descr="../immunedb_STATS_API/clonal_analysis/plots/03_cdr3_by_disease.png" id="94" name="Picture"/>
                    <pic:cNvPicPr>
                      <a:picLocks noChangeArrowheads="1" noChangeAspect="1"/>
                    </pic:cNvPicPr>
                  </pic:nvPicPr>
                  <pic:blipFill>
                    <a:blip r:embed="rId92"/>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8.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9. CDR3 length range (max minus min amino acid length) of the top 10 clones per individual, grouped by disease stage. Larger ranges indicate greater CDR3 structural heterogeneity among the dominant clones." title="" id="96" name="Picture"/>
            <a:graphic>
              <a:graphicData uri="http://schemas.openxmlformats.org/drawingml/2006/picture">
                <pic:pic>
                  <pic:nvPicPr>
                    <pic:cNvPr descr="../immunedb_STATS_API/clonal_analysis/plots/04_cdr3_range_by_disease.png" id="97" name="Picture"/>
                    <pic:cNvPicPr>
                      <a:picLocks noChangeArrowheads="1" noChangeAspect="1"/>
                    </pic:cNvPicPr>
                  </pic:nvPicPr>
                  <pic:blipFill>
                    <a:blip r:embed="rId9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Selection pressure and mutation profile (NS/S ratios).</w:t>
      </w:r>
      <w:r>
        <w:t xml:space="preserve"> </w:t>
      </w:r>
      <w:r>
        <w:t xml:space="preserve">To analyze selection pressure and mutation burden, we computed NS/S ratios separately for CDR and framework (FW) regions across all clones and stratified by clone expansion status (</w:t>
      </w:r>
      <w:r>
        <w:rPr>
          <w:bCs/>
          <w:b/>
        </w:rPr>
        <w:t xml:space="preserve">Figure 10</w:t>
      </w:r>
      <w:r>
        <w:t xml:space="preserve">).</w:t>
      </w:r>
    </w:p>
    <w:p>
      <w:pPr>
        <w:pStyle w:val="CaptionedFigure"/>
      </w:pPr>
      <w:r>
        <w:drawing>
          <wp:inline>
            <wp:extent cx="5334000" cy="3073830"/>
            <wp:effectExtent b="0" l="0" r="0" t="0"/>
            <wp:docPr descr="Figure 10. Somatic hypermutation: NS/S ratios and mutation counts by disease stage. Top row (all clones): Panel A — CDR NS/S ratio per individual; Panel B — FW NS/S ratio (same y-axis scale as A); Panel C — average NS and S mutation counts as stacked bars for CDR and FW regions. Bottom row (expanded vs. rest): Panel D — CDR NS/S ratio for expanded (red, ≥20 unique sequences) versus non-expanded clones (blue, &lt;20); Panel E — FW NS/S ratio (same y-axis scale as D); Panel F — average NS and S mutation counts by region and expansion group. Boxplots show median and IQR; dashed line marks NS/S = 1.0. Kruskal-Wallis p-values annotated. Blood samples only." title="" id="99" name="Picture"/>
            <a:graphic>
              <a:graphicData uri="http://schemas.openxmlformats.org/drawingml/2006/picture">
                <pic:pic>
                  <pic:nvPicPr>
                    <pic:cNvPr descr="../immunedb_STATS_API/clonal_analysis/plots/21_mutations_rs_ratio.png" id="100" name="Picture"/>
                    <pic:cNvPicPr>
                      <a:picLocks noChangeArrowheads="1" noChangeAspect="1"/>
                    </pic:cNvPicPr>
                  </pic:nvPicPr>
                  <pic:blipFill>
                    <a:blip r:embed="rId98"/>
                    <a:stretch>
                      <a:fillRect/>
                    </a:stretch>
                  </pic:blipFill>
                  <pic:spPr bwMode="auto">
                    <a:xfrm>
                      <a:off x="0" y="0"/>
                      <a:ext cx="5334000" cy="3073830"/>
                    </a:xfrm>
                    <a:prstGeom prst="rect">
                      <a:avLst/>
                    </a:prstGeom>
                    <a:noFill/>
                    <a:ln w="9525">
                      <a:noFill/>
                      <a:headEnd/>
                      <a:tailEnd/>
                    </a:ln>
                  </pic:spPr>
                </pic:pic>
              </a:graphicData>
            </a:graphic>
          </wp:inline>
        </w:drawing>
      </w:r>
    </w:p>
    <w:p>
      <w:pPr>
        <w:pStyle w:val="ImageCaption"/>
      </w:pPr>
      <w:r>
        <w:t xml:space="preserve">Figure 10. Somatic hypermutation: NS/S ratios and mutation counts by disease stage. Top row (all clones): Panel A — CDR NS/S ratio per individual; Panel B — FW NS/S ratio (same y-axis scale as A); Panel C — average NS and S mutation counts as stacked bars for CDR and FW regions. Bottom row (expanded vs. rest): Panel D — CDR NS/S ratio for expanded (red, ≥20 unique sequences) versus non-expanded clones (blue, &lt;20); Panel E — FW NS/S ratio (same y-axis scale as D); Panel F — average NS and S mutation counts by region and expansion group. Boxplots show median and IQR; dashed line marks NS/S = 1.0. Kruskal-Wallis p-values annotated. Blood samples only.</w:t>
      </w:r>
    </w:p>
    <w:p>
      <w:pPr>
        <w:pStyle w:val="BodyText"/>
      </w:pPr>
      <w:r>
        <w:t xml:space="preserve">Across all clones (Panels A–C), CDR NS/S ratios were consistently above 1.0 in all disease categories, confirming positive selection in antigen-binding regions. The Kruskal-Wallis test revealed significant differences across groups (p &lt; 0.0001): Mild, Recovered, and COVID Naive individuals had higher median CDR NS/S ratios (~3.0–3.2), suggesting stronger positive selection, while Severe (2.66) and Moderate (2.03) cases showed lower ratios. FW NS/S ratios (Panel B) were markedly lower than CDR ratios (~1.4–1.6) and did not differ significantly across disease categories (p = 0.92), consistent with purifying selection maintaining framework structural integrity. The shared y-axis scale between Panels A and B makes this CDR–FW contrast immediately apparent.</w:t>
      </w:r>
    </w:p>
    <w:p>
      <w:pPr>
        <w:pStyle w:val="BodyText"/>
      </w:pPr>
      <w:r>
        <w:t xml:space="preserve">When stratified by clone expansion status (Panels D–F), expanded clones showed lower CDR NS/S ratios than non-expanded clones in disease groups (e.g., Moderate expanded: 1.33 vs. rest: ~3.0), while maintaining higher FW NS/S ratios (Moderate expanded: 1.91 vs. rest: ~1.6). This pattern suggests that expanded clones accumulate proportionally more synonymous mutations in CDR regions — possibly reflecting ongoing somatic hypermutation — while their framework regions tolerate more replacement mutations than non-expanded clones. Panels C and F show that expanded clones carry substantially higher absolute mutation counts (10–60 average mutations) compared to non-expanded clones (2–8), confirming extensive somatic hypermutation in clonally expanded populations across all disease stages.</w:t>
      </w:r>
    </w:p>
    <w:bookmarkEnd w:id="101"/>
    <w:bookmarkStart w:id="105" w:name="v-gene-usage"/>
    <w:p>
      <w:pPr>
        <w:pStyle w:val="Heading2"/>
      </w:pPr>
      <w:r>
        <w:rPr>
          <w:rStyle w:val="SectionNumber"/>
        </w:rPr>
        <w:t xml:space="preserve">7.5</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11</w:t>
      </w:r>
      <w:r>
        <w:t xml:space="preserve">).</w:t>
      </w:r>
    </w:p>
    <w:p>
      <w:pPr>
        <w:pStyle w:val="CaptionedFigure"/>
      </w:pPr>
      <w:r>
        <w:drawing>
          <wp:inline>
            <wp:extent cx="5334000" cy="3427007"/>
            <wp:effectExtent b="0" l="0" r="0" t="0"/>
            <wp:docPr descr="Figure 11.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03" name="Picture"/>
            <a:graphic>
              <a:graphicData uri="http://schemas.openxmlformats.org/drawingml/2006/picture">
                <pic:pic>
                  <pic:nvPicPr>
                    <pic:cNvPr descr="../immunedb_STATS_API/clonal_analysis/plots/23_v_gene_usage_heatmap.png" id="104" name="Picture"/>
                    <pic:cNvPicPr>
                      <a:picLocks noChangeArrowheads="1" noChangeAspect="1"/>
                    </pic:cNvPicPr>
                  </pic:nvPicPr>
                  <pic:blipFill>
                    <a:blip r:embed="rId102"/>
                    <a:stretch>
                      <a:fillRect/>
                    </a:stretch>
                  </pic:blipFill>
                  <pic:spPr bwMode="auto">
                    <a:xfrm>
                      <a:off x="0" y="0"/>
                      <a:ext cx="5334000" cy="3427007"/>
                    </a:xfrm>
                    <a:prstGeom prst="rect">
                      <a:avLst/>
                    </a:prstGeom>
                    <a:noFill/>
                    <a:ln w="9525">
                      <a:noFill/>
                      <a:headEnd/>
                      <a:tailEnd/>
                    </a:ln>
                  </pic:spPr>
                </pic:pic>
              </a:graphicData>
            </a:graphic>
          </wp:inline>
        </w:drawing>
      </w:r>
    </w:p>
    <w:p>
      <w:pPr>
        <w:pStyle w:val="ImageCaption"/>
      </w:pPr>
      <w:r>
        <w:t xml:space="preserve">Figure 11.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05"/>
    <w:bookmarkStart w:id="112" w:name="age-and-gender-as-potential-confounders"/>
    <w:p>
      <w:pPr>
        <w:pStyle w:val="Heading2"/>
      </w:pPr>
      <w:r>
        <w:rPr>
          <w:rStyle w:val="SectionNumber"/>
        </w:rPr>
        <w:t xml:space="preserve">7.6</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800991"/>
            <wp:effectExtent b="0" l="0" r="0" t="0"/>
            <wp:docPr descr="Figure 12.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07" name="Picture"/>
            <a:graphic>
              <a:graphicData uri="http://schemas.openxmlformats.org/drawingml/2006/picture">
                <pic:pic>
                  <pic:nvPicPr>
                    <pic:cNvPr descr="../immunedb_STATS_API/clonal_analysis/plots/24_metrics_vs_age.png" id="108" name="Picture"/>
                    <pic:cNvPicPr>
                      <a:picLocks noChangeArrowheads="1" noChangeAspect="1"/>
                    </pic:cNvPicPr>
                  </pic:nvPicPr>
                  <pic:blipFill>
                    <a:blip r:embed="rId106"/>
                    <a:stretch>
                      <a:fillRect/>
                    </a:stretch>
                  </pic:blipFill>
                  <pic:spPr bwMode="auto">
                    <a:xfrm>
                      <a:off x="0" y="0"/>
                      <a:ext cx="5334000" cy="1800991"/>
                    </a:xfrm>
                    <a:prstGeom prst="rect">
                      <a:avLst/>
                    </a:prstGeom>
                    <a:noFill/>
                    <a:ln w="9525">
                      <a:noFill/>
                      <a:headEnd/>
                      <a:tailEnd/>
                    </a:ln>
                  </pic:spPr>
                </pic:pic>
              </a:graphicData>
            </a:graphic>
          </wp:inline>
        </w:drawing>
      </w:r>
    </w:p>
    <w:p>
      <w:pPr>
        <w:pStyle w:val="ImageCaption"/>
      </w:pPr>
      <w:r>
        <w:t xml:space="preserve">Figure 12.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12</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800759"/>
            <wp:effectExtent b="0" l="0" r="0" t="0"/>
            <wp:docPr descr="Figure 13. Clonal metrics by gender and disease stage. Panel A: clone count (log scale). Panel B: mean CDR3 length. Panel C: CDR NS/S ratio. Boxplots compare male and female individuals within each disease category." title="" id="110" name="Picture"/>
            <a:graphic>
              <a:graphicData uri="http://schemas.openxmlformats.org/drawingml/2006/picture">
                <pic:pic>
                  <pic:nvPicPr>
                    <pic:cNvPr descr="../immunedb_STATS_API/clonal_analysis/plots/25_metrics_vs_gender.png" id="111" name="Picture"/>
                    <pic:cNvPicPr>
                      <a:picLocks noChangeArrowheads="1" noChangeAspect="1"/>
                    </pic:cNvPicPr>
                  </pic:nvPicPr>
                  <pic:blipFill>
                    <a:blip r:embed="rId109"/>
                    <a:stretch>
                      <a:fillRect/>
                    </a:stretch>
                  </pic:blipFill>
                  <pic:spPr bwMode="auto">
                    <a:xfrm>
                      <a:off x="0" y="0"/>
                      <a:ext cx="5334000" cy="1800759"/>
                    </a:xfrm>
                    <a:prstGeom prst="rect">
                      <a:avLst/>
                    </a:prstGeom>
                    <a:noFill/>
                    <a:ln w="9525">
                      <a:noFill/>
                      <a:headEnd/>
                      <a:tailEnd/>
                    </a:ln>
                  </pic:spPr>
                </pic:pic>
              </a:graphicData>
            </a:graphic>
          </wp:inline>
        </w:drawing>
      </w:r>
    </w:p>
    <w:p>
      <w:pPr>
        <w:pStyle w:val="ImageCaption"/>
      </w:pPr>
      <w:r>
        <w:t xml:space="preserve">Figure 13.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13</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12"/>
    <w:bookmarkStart w:id="119" w:name="sex-stratified-analysis"/>
    <w:p>
      <w:pPr>
        <w:pStyle w:val="Heading2"/>
      </w:pPr>
      <w:r>
        <w:rPr>
          <w:rStyle w:val="SectionNumber"/>
        </w:rPr>
        <w:t xml:space="preserve">7.7</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14</w:t>
      </w:r>
      <w:r>
        <w:t xml:space="preserve">) and CDR3 lengths (</w:t>
      </w:r>
      <w:r>
        <w:rPr>
          <w:bCs/>
          <w:b/>
        </w:rPr>
        <w:t xml:space="preserve">Figure 15</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14. Mutation level in top 10 clones stratified by sex and disease stage. Male and female individuals compared within each disease category. Demonstrates IS-API’s ability to perform intersectional queries across multiple metadata dimensions in a single API call." title="" id="114" name="Picture"/>
            <a:graphic>
              <a:graphicData uri="http://schemas.openxmlformats.org/drawingml/2006/picture">
                <pic:pic>
                  <pic:nvPicPr>
                    <pic:cNvPr descr="../immunedb_STATS_API/clonal_analysis/plots/12_mutation_top10_by_sex_disease.png" id="115" name="Picture"/>
                    <pic:cNvPicPr>
                      <a:picLocks noChangeArrowheads="1" noChangeAspect="1"/>
                    </pic:cNvPicPr>
                  </pic:nvPicPr>
                  <pic:blipFill>
                    <a:blip r:embed="rId11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14.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15. CDR3 length in top 10 clones stratified by sex and disease stage. Mean CDR3 amino acid length of the top 10 clones per individual, grouped by sex within each disease category." title="" id="117" name="Picture"/>
            <a:graphic>
              <a:graphicData uri="http://schemas.openxmlformats.org/drawingml/2006/picture">
                <pic:pic>
                  <pic:nvPicPr>
                    <pic:cNvPr descr="../immunedb_STATS_API/clonal_analysis/plots/13_cdr3_top10_by_sex_disease.png" id="118" name="Picture"/>
                    <pic:cNvPicPr>
                      <a:picLocks noChangeArrowheads="1" noChangeAspect="1"/>
                    </pic:cNvPicPr>
                  </pic:nvPicPr>
                  <pic:blipFill>
                    <a:blip r:embed="rId11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15. CDR3 length in top 10 clones stratified by sex and disease stage. Mean CDR3 amino acid length of the top 10 clones per individual, grouped by sex within each disease category.</w:t>
      </w:r>
    </w:p>
    <w:bookmarkEnd w:id="119"/>
    <w:bookmarkStart w:id="129" w:name="within-individual-cross-tissue-analysis"/>
    <w:p>
      <w:pPr>
        <w:pStyle w:val="Heading2"/>
      </w:pPr>
      <w:r>
        <w:rPr>
          <w:rStyle w:val="SectionNumber"/>
        </w:rPr>
        <w:t xml:space="preserve">7.8</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16</w:t>
      </w:r>
      <w:r>
        <w:t xml:space="preserve">), clone sizes (</w:t>
      </w:r>
      <w:r>
        <w:rPr>
          <w:bCs/>
          <w:b/>
        </w:rPr>
        <w:t xml:space="preserve">Figure 17</w:t>
      </w:r>
      <w:r>
        <w:t xml:space="preserve">), and paired tissue measurements (</w:t>
      </w:r>
      <w:r>
        <w:rPr>
          <w:bCs/>
          <w:b/>
        </w:rPr>
        <w:t xml:space="preserve">Figure 18</w:t>
      </w:r>
      <w:r>
        <w:t xml:space="preserve">) within the same individual.</w:t>
      </w:r>
    </w:p>
    <w:p>
      <w:pPr>
        <w:pStyle w:val="CaptionedFigure"/>
      </w:pPr>
      <w:r>
        <w:drawing>
          <wp:inline>
            <wp:extent cx="5334000" cy="3440803"/>
            <wp:effectExtent b="0" l="0" r="0" t="0"/>
            <wp:docPr descr="Figure 16. Within-individual clone count across tissues. For individuals with samples from multiple tissues (e.g., blood and bone marrow in HC1, blood and lung in CD1), clone counts are compared across tissue types within the same individual." title="" id="121" name="Picture"/>
            <a:graphic>
              <a:graphicData uri="http://schemas.openxmlformats.org/drawingml/2006/picture">
                <pic:pic>
                  <pic:nvPicPr>
                    <pic:cNvPr descr="../immunedb_STATS_API/clonal_analysis/plots/14_within_subject_clone_count.png" id="122" name="Picture"/>
                    <pic:cNvPicPr>
                      <a:picLocks noChangeArrowheads="1" noChangeAspect="1"/>
                    </pic:cNvPicPr>
                  </pic:nvPicPr>
                  <pic:blipFill>
                    <a:blip r:embed="rId120"/>
                    <a:stretch>
                      <a:fillRect/>
                    </a:stretch>
                  </pic:blipFill>
                  <pic:spPr bwMode="auto">
                    <a:xfrm>
                      <a:off x="0" y="0"/>
                      <a:ext cx="5334000" cy="3440803"/>
                    </a:xfrm>
                    <a:prstGeom prst="rect">
                      <a:avLst/>
                    </a:prstGeom>
                    <a:noFill/>
                    <a:ln w="9525">
                      <a:noFill/>
                      <a:headEnd/>
                      <a:tailEnd/>
                    </a:ln>
                  </pic:spPr>
                </pic:pic>
              </a:graphicData>
            </a:graphic>
          </wp:inline>
        </w:drawing>
      </w:r>
    </w:p>
    <w:p>
      <w:pPr>
        <w:pStyle w:val="ImageCaption"/>
      </w:pPr>
      <w:r>
        <w:t xml:space="preserve">Figure 16.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571702"/>
            <wp:effectExtent b="0" l="0" r="0" t="0"/>
            <wp:docPr descr="Figure 17. Within-individual clone size across tissues. Clone size distributions compared between different tissue types within the same individual across studies." title="" id="124" name="Picture"/>
            <a:graphic>
              <a:graphicData uri="http://schemas.openxmlformats.org/drawingml/2006/picture">
                <pic:pic>
                  <pic:nvPicPr>
                    <pic:cNvPr descr="../immunedb_STATS_API/clonal_analysis/plots/15_within_subject_clone_size_cross_study.png" id="125" name="Picture"/>
                    <pic:cNvPicPr>
                      <a:picLocks noChangeArrowheads="1" noChangeAspect="1"/>
                    </pic:cNvPicPr>
                  </pic:nvPicPr>
                  <pic:blipFill>
                    <a:blip r:embed="rId123"/>
                    <a:stretch>
                      <a:fillRect/>
                    </a:stretch>
                  </pic:blipFill>
                  <pic:spPr bwMode="auto">
                    <a:xfrm>
                      <a:off x="0" y="0"/>
                      <a:ext cx="5334000" cy="2571702"/>
                    </a:xfrm>
                    <a:prstGeom prst="rect">
                      <a:avLst/>
                    </a:prstGeom>
                    <a:noFill/>
                    <a:ln w="9525">
                      <a:noFill/>
                      <a:headEnd/>
                      <a:tailEnd/>
                    </a:ln>
                  </pic:spPr>
                </pic:pic>
              </a:graphicData>
            </a:graphic>
          </wp:inline>
        </w:drawing>
      </w:r>
    </w:p>
    <w:p>
      <w:pPr>
        <w:pStyle w:val="ImageCaption"/>
      </w:pPr>
      <w:r>
        <w:t xml:space="preserve">Figure 17.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18. Within-individual tissue comparison using paired line plots. Lines connect measurements from different tissues within the same individual, illustrating tissue-specific repertoire differences. Each line represents one individual sampled from multiple tissues." title="" id="127" name="Picture"/>
            <a:graphic>
              <a:graphicData uri="http://schemas.openxmlformats.org/drawingml/2006/picture">
                <pic:pic>
                  <pic:nvPicPr>
                    <pic:cNvPr descr="../immunedb_STATS_API/clonal_analysis/plots/16_within_subject_tissue_lines.png" id="128" name="Picture"/>
                    <pic:cNvPicPr>
                      <a:picLocks noChangeArrowheads="1" noChangeAspect="1"/>
                    </pic:cNvPicPr>
                  </pic:nvPicPr>
                  <pic:blipFill>
                    <a:blip r:embed="rId126"/>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18.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29"/>
    <w:bookmarkEnd w:id="130"/>
    <w:bookmarkStart w:id="135" w:name="discussion-and-conclusions"/>
    <w:p>
      <w:pPr>
        <w:pStyle w:val="Heading1"/>
      </w:pPr>
      <w:r>
        <w:rPr>
          <w:rStyle w:val="SectionNumber"/>
        </w:rPr>
        <w:t xml:space="preserve">8</w:t>
      </w:r>
      <w:r>
        <w:tab/>
      </w:r>
      <w:r>
        <w:t xml:space="preserve">Discussion and Conclusions</w:t>
      </w:r>
    </w:p>
    <w:bookmarkStart w:id="131"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31"/>
    <w:bookmarkStart w:id="132"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32"/>
    <w:bookmarkStart w:id="133"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33"/>
    <w:bookmarkStart w:id="134"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34"/>
    <w:bookmarkEnd w:id="135"/>
    <w:bookmarkStart w:id="136"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2" Target="media/rId82.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86" Target="media/rId86.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98" Target="media/rId98.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79" Target="media/rId79.png" /><Relationship Type="http://schemas.openxmlformats.org/officeDocument/2006/relationships/image" Id="rId69" Target="media/rId69.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2026-09-05T14:34:45Z</dcterms:created>
  <dcterms:modified xsi:type="dcterms:W3CDTF">2026-09-05T14:34:45Z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