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two-part analysis. First, I show the tool’s metadata querying and cross-study exploration capabilities across six COVID-19-related and healthy control studies encompassing 106 blood-derived repertoires from 94 individuals. Second, I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IS-API metadata endpoints and example queries.</w:t>
      </w:r>
    </w:p>
    <w:p>
      <w:pPr>
        <w:pStyle w:val="BodyText"/>
      </w:pPr>
      <w:r>
        <w:rPr>
          <w:bCs/>
          <w:b/>
        </w:rPr>
        <w:t xml:space="preserve">Table 3.</w:t>
      </w:r>
      <w:r>
        <w:t xml:space="preserve"> </w:t>
      </w:r>
      <w:r>
        <w:t xml:space="preserve">IS-API biological/statistical endpoints and example queries.</w:t>
      </w:r>
    </w:p>
    <w:p>
      <w:pPr>
        <w:pStyle w:val="BodyText"/>
      </w:pPr>
      <w:r>
        <w:rPr>
          <w:bCs/>
          <w:b/>
        </w:rPr>
        <w:t xml:space="preserve">Table 4.</w:t>
      </w:r>
      <w:r>
        <w:t xml:space="preserve"> </w:t>
      </w:r>
      <w:r>
        <w:t xml:space="preserve">Disease stage harmonization across studies.</w:t>
      </w:r>
    </w:p>
    <w:p>
      <w:pPr>
        <w:pStyle w:val="BodyText"/>
      </w:pPr>
      <w:r>
        <w:rPr>
          <w:bCs/>
          <w:b/>
        </w:rPr>
        <w:t xml:space="preserve">Table 5.</w:t>
      </w:r>
      <w:r>
        <w:t xml:space="preserve"> </w:t>
      </w:r>
      <w:r>
        <w:t xml:space="preserve">Individual counts per harmonized disease category.</w:t>
      </w:r>
    </w:p>
    <w:bookmarkEnd w:id="21"/>
    <w:bookmarkStart w:id="25" w:name="list-of-figures"/>
    <w:p>
      <w:pPr>
        <w:pStyle w:val="Heading1"/>
      </w:pPr>
      <w:r>
        <w:t xml:space="preserve">List of Figures</w:t>
      </w:r>
    </w:p>
    <w:bookmarkStart w:id="22" w:name="methods-figures"/>
    <w:p>
      <w:pPr>
        <w:pStyle w:val="Heading2"/>
      </w:pP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part-1-is-api-tool-capabilities"/>
    <w:p>
      <w:pPr>
        <w:pStyle w:val="Heading2"/>
      </w:pPr>
      <w:r>
        <w:t xml:space="preserve">Part 1: IS-API Tool Capabilities</w:t>
      </w:r>
    </w:p>
    <w:p>
      <w:pPr>
        <w:pStyle w:val="FirstParagraph"/>
      </w:pPr>
      <w:r>
        <w:rPr>
          <w:bCs/>
          <w:b/>
        </w:rPr>
        <w:t xml:space="preserve">Figure 1.</w:t>
      </w:r>
      <w:r>
        <w:t xml:space="preserve"> </w:t>
      </w:r>
      <w:r>
        <w:t xml:space="preserve">Clone count distribution by disease stage across all studies.</w:t>
      </w:r>
    </w:p>
    <w:p>
      <w:pPr>
        <w:pStyle w:val="BodyText"/>
      </w:pPr>
      <w:r>
        <w:rPr>
          <w:bCs/>
          <w:b/>
        </w:rPr>
        <w:t xml:space="preserve">Figure 2.</w:t>
      </w:r>
      <w:r>
        <w:t xml:space="preserve"> </w:t>
      </w:r>
      <w:r>
        <w:t xml:space="preserve">Fraction of top X clones out of total copies per individual by disease stage.</w:t>
      </w:r>
    </w:p>
    <w:p>
      <w:pPr>
        <w:pStyle w:val="BodyText"/>
      </w:pPr>
      <w:r>
        <w:rPr>
          <w:bCs/>
          <w:b/>
        </w:rPr>
        <w:t xml:space="preserve">Figure 3.</w:t>
      </w:r>
      <w:r>
        <w:t xml:space="preserve"> </w:t>
      </w:r>
      <w:r>
        <w:t xml:space="preserve">CDR3 length distribution by disease stage for top clones.</w:t>
      </w:r>
    </w:p>
    <w:p>
      <w:pPr>
        <w:pStyle w:val="BodyText"/>
      </w:pPr>
      <w:r>
        <w:rPr>
          <w:bCs/>
          <w:b/>
        </w:rPr>
        <w:t xml:space="preserve">Figure 4.</w:t>
      </w:r>
      <w:r>
        <w:t xml:space="preserve"> </w:t>
      </w:r>
      <w:r>
        <w:t xml:space="preserve">CDR3 length range by disease stage.</w:t>
      </w:r>
    </w:p>
    <w:p>
      <w:pPr>
        <w:pStyle w:val="BodyText"/>
      </w:pPr>
      <w:r>
        <w:rPr>
          <w:bCs/>
          <w:b/>
        </w:rPr>
        <w:t xml:space="preserve">Figure 5.</w:t>
      </w:r>
      <w:r>
        <w:t xml:space="preserve"> </w:t>
      </w:r>
      <w:r>
        <w:t xml:space="preserve">Total mutation level by disease stage.</w:t>
      </w:r>
    </w:p>
    <w:p>
      <w:pPr>
        <w:pStyle w:val="BodyText"/>
      </w:pPr>
      <w:r>
        <w:rPr>
          <w:bCs/>
          <w:b/>
        </w:rPr>
        <w:t xml:space="preserve">Figure 6.</w:t>
      </w:r>
      <w:r>
        <w:t xml:space="preserve"> </w:t>
      </w:r>
      <w:r>
        <w:t xml:space="preserve">Mutation level gradient across clone size ranks by disease stage.</w:t>
      </w:r>
    </w:p>
    <w:p>
      <w:pPr>
        <w:pStyle w:val="BodyText"/>
      </w:pPr>
      <w:r>
        <w:rPr>
          <w:bCs/>
          <w:b/>
        </w:rPr>
        <w:t xml:space="preserve">Figure 7.</w:t>
      </w:r>
      <w:r>
        <w:t xml:space="preserve"> </w:t>
      </w:r>
      <w:r>
        <w:t xml:space="preserve">CDR and FW region mutations by disease stage.</w:t>
      </w:r>
    </w:p>
    <w:p>
      <w:pPr>
        <w:pStyle w:val="BodyText"/>
      </w:pPr>
      <w:r>
        <w:rPr>
          <w:bCs/>
          <w:b/>
        </w:rPr>
        <w:t xml:space="preserve">Figure 8.</w:t>
      </w:r>
      <w:r>
        <w:t xml:space="preserve"> </w:t>
      </w:r>
      <w:r>
        <w:t xml:space="preserve">NS/S ratio by disease stage (overview).</w:t>
      </w:r>
    </w:p>
    <w:p>
      <w:pPr>
        <w:pStyle w:val="BodyText"/>
      </w:pPr>
      <w:r>
        <w:rPr>
          <w:bCs/>
          <w:b/>
        </w:rPr>
        <w:t xml:space="preserve">Figure 9.</w:t>
      </w:r>
      <w:r>
        <w:t xml:space="preserve"> </w:t>
      </w:r>
      <w:r>
        <w:t xml:space="preserve">Clone size distribution overview by disease stage.</w:t>
      </w:r>
    </w:p>
    <w:p>
      <w:pPr>
        <w:pStyle w:val="BodyText"/>
      </w:pPr>
      <w:r>
        <w:rPr>
          <w:bCs/>
          <w:b/>
        </w:rPr>
        <w:t xml:space="preserve">Figure 10.</w:t>
      </w:r>
      <w:r>
        <w:t xml:space="preserve"> </w:t>
      </w:r>
      <w:r>
        <w:t xml:space="preserve">Expanded clone count by disease stage.</w:t>
      </w:r>
    </w:p>
    <w:p>
      <w:pPr>
        <w:pStyle w:val="BodyText"/>
      </w:pPr>
      <w:r>
        <w:rPr>
          <w:bCs/>
          <w:b/>
        </w:rPr>
        <w:t xml:space="preserve">Figure 11.</w:t>
      </w:r>
      <w:r>
        <w:t xml:space="preserve"> </w:t>
      </w:r>
      <w:r>
        <w:t xml:space="preserve">Expanded clone size by disease stage.</w:t>
      </w:r>
    </w:p>
    <w:p>
      <w:pPr>
        <w:pStyle w:val="BodyText"/>
      </w:pPr>
      <w:r>
        <w:rPr>
          <w:bCs/>
          <w:b/>
        </w:rPr>
        <w:t xml:space="preserve">Figure 12.</w:t>
      </w:r>
      <w:r>
        <w:t xml:space="preserve"> </w:t>
      </w:r>
      <w:r>
        <w:t xml:space="preserve">Mutation level in top 10 clones by sex and disease stage.</w:t>
      </w:r>
    </w:p>
    <w:p>
      <w:pPr>
        <w:pStyle w:val="BodyText"/>
      </w:pPr>
      <w:r>
        <w:rPr>
          <w:bCs/>
          <w:b/>
        </w:rPr>
        <w:t xml:space="preserve">Figure 13.</w:t>
      </w:r>
      <w:r>
        <w:t xml:space="preserve"> </w:t>
      </w:r>
      <w:r>
        <w:t xml:space="preserve">CDR3 length in top 10 clones by sex and disease stage.</w:t>
      </w:r>
    </w:p>
    <w:p>
      <w:pPr>
        <w:pStyle w:val="BodyText"/>
      </w:pPr>
      <w:r>
        <w:rPr>
          <w:bCs/>
          <w:b/>
        </w:rPr>
        <w:t xml:space="preserve">Figure 14.</w:t>
      </w:r>
      <w:r>
        <w:t xml:space="preserve"> </w:t>
      </w:r>
      <w:r>
        <w:t xml:space="preserve">Within-individual clone count across tissues (cross-study comparison).</w:t>
      </w:r>
    </w:p>
    <w:p>
      <w:pPr>
        <w:pStyle w:val="BodyText"/>
      </w:pPr>
      <w:r>
        <w:rPr>
          <w:bCs/>
          <w:b/>
        </w:rPr>
        <w:t xml:space="preserve">Figure 15.</w:t>
      </w:r>
      <w:r>
        <w:t xml:space="preserve"> </w:t>
      </w:r>
      <w:r>
        <w:t xml:space="preserve">Within-individual clone size across tissues (cross-study comparison).</w:t>
      </w:r>
    </w:p>
    <w:p>
      <w:pPr>
        <w:pStyle w:val="BodyText"/>
      </w:pPr>
      <w:r>
        <w:rPr>
          <w:bCs/>
          <w:b/>
        </w:rPr>
        <w:t xml:space="preserve">Figure 16.</w:t>
      </w:r>
      <w:r>
        <w:t xml:space="preserve"> </w:t>
      </w:r>
      <w:r>
        <w:t xml:space="preserve">Within-individual tissue comparison (paired line plots).</w:t>
      </w:r>
    </w:p>
    <w:bookmarkEnd w:id="23"/>
    <w:bookmarkStart w:id="24" w:name="part-2-covid-19-clonal-analysis"/>
    <w:p>
      <w:pPr>
        <w:pStyle w:val="Heading2"/>
      </w:pPr>
      <w:r>
        <w:t xml:space="preserve">Part 2: COVID-19 Clonal Analysis</w:t>
      </w:r>
    </w:p>
    <w:p>
      <w:pPr>
        <w:pStyle w:val="FirstParagraph"/>
      </w:pPr>
      <w:r>
        <w:rPr>
          <w:bCs/>
          <w:b/>
        </w:rPr>
        <w:t xml:space="preserve">Figure 17.</w:t>
      </w:r>
      <w:r>
        <w:t xml:space="preserve"> </w:t>
      </w:r>
      <w:r>
        <w:t xml:space="preserve">Clonal diversity: Hill numbers (Order 0, 1, 2) by disease stage.</w:t>
      </w:r>
    </w:p>
    <w:p>
      <w:pPr>
        <w:pStyle w:val="BodyText"/>
      </w:pPr>
      <w:r>
        <w:rPr>
          <w:bCs/>
          <w:b/>
        </w:rPr>
        <w:t xml:space="preserve">Figure 18.</w:t>
      </w:r>
      <w:r>
        <w:t xml:space="preserve"> </w:t>
      </w:r>
      <w:r>
        <w:t xml:space="preserve">Diversity profiles by disease stage.</w:t>
      </w:r>
    </w:p>
    <w:p>
      <w:pPr>
        <w:pStyle w:val="BodyText"/>
      </w:pPr>
      <w:r>
        <w:rPr>
          <w:bCs/>
          <w:b/>
        </w:rPr>
        <w:t xml:space="preserve">Figure 19.</w:t>
      </w:r>
      <w:r>
        <w:t xml:space="preserve"> </w:t>
      </w:r>
      <w:r>
        <w:t xml:space="preserve">Number of expanded clones at different expansion thresholds by disease stage.</w:t>
      </w:r>
    </w:p>
    <w:p>
      <w:pPr>
        <w:pStyle w:val="BodyText"/>
      </w:pPr>
      <w:r>
        <w:rPr>
          <w:bCs/>
          <w:b/>
        </w:rPr>
        <w:t xml:space="preserve">Figure 20.</w:t>
      </w:r>
      <w:r>
        <w:t xml:space="preserve"> </w:t>
      </w:r>
      <w:r>
        <w:t xml:space="preserve">Clone size distribution by disease stage (violin + boxplot and per-individual median).</w:t>
      </w:r>
    </w:p>
    <w:p>
      <w:pPr>
        <w:pStyle w:val="BodyText"/>
      </w:pPr>
      <w:r>
        <w:rPr>
          <w:bCs/>
          <w:b/>
        </w:rPr>
        <w:t xml:space="preserve">Figure 21.</w:t>
      </w:r>
      <w:r>
        <w:t xml:space="preserve"> </w:t>
      </w:r>
      <w:r>
        <w:t xml:space="preserve">Mutation analysis: NS/S ratio by region and disease stage.</w:t>
      </w:r>
    </w:p>
    <w:p>
      <w:pPr>
        <w:pStyle w:val="BodyText"/>
      </w:pPr>
      <w:r>
        <w:rPr>
          <w:bCs/>
          <w:b/>
        </w:rPr>
        <w:t xml:space="preserve">Figure 22.</w:t>
      </w:r>
      <w:r>
        <w:t xml:space="preserve"> </w:t>
      </w:r>
      <w:r>
        <w:t xml:space="preserve">CDR3 length distribution (mean and SD) by disease stage.</w:t>
      </w:r>
    </w:p>
    <w:p>
      <w:pPr>
        <w:pStyle w:val="BodyText"/>
      </w:pPr>
      <w:r>
        <w:rPr>
          <w:bCs/>
          <w:b/>
        </w:rPr>
        <w:t xml:space="preserve">Figure 23.</w:t>
      </w:r>
      <w:r>
        <w:t xml:space="preserve"> </w:t>
      </w:r>
      <w:r>
        <w:t xml:space="preserve">V gene usage heatmap by disease stage.</w:t>
      </w:r>
    </w:p>
    <w:p>
      <w:pPr>
        <w:pStyle w:val="BodyText"/>
      </w:pPr>
      <w:r>
        <w:rPr>
          <w:bCs/>
          <w:b/>
        </w:rPr>
        <w:t xml:space="preserve">Figure 24.</w:t>
      </w:r>
      <w:r>
        <w:t xml:space="preserve"> </w:t>
      </w:r>
      <w:r>
        <w:t xml:space="preserve">Clonal metrics versus age by disease stage.</w:t>
      </w:r>
    </w:p>
    <w:p>
      <w:pPr>
        <w:pStyle w:val="BodyText"/>
      </w:pPr>
      <w:r>
        <w:rPr>
          <w:bCs/>
          <w:b/>
        </w:rPr>
        <w:t xml:space="preserve">Figure 25.</w:t>
      </w:r>
      <w:r>
        <w:t xml:space="preserve"> </w:t>
      </w:r>
      <w:r>
        <w:t xml:space="preserve">Clonal metrics by gender and disease stage.</w:t>
      </w:r>
    </w:p>
    <w:bookmarkEnd w:id="24"/>
    <w:bookmarkEnd w:id="25"/>
    <w:bookmarkStart w:id="30" w:name="introduction"/>
    <w:p>
      <w:pPr>
        <w:pStyle w:val="Heading1"/>
      </w:pPr>
      <w:r>
        <w:t xml:space="preserve">Introduction</w:t>
      </w:r>
    </w:p>
    <w:bookmarkStart w:id="26" w:name="b-cell-repertoire-and-diversity"/>
    <w:p>
      <w:pPr>
        <w:pStyle w:val="Heading2"/>
      </w:pP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w:t>
      </w:r>
      <w:r>
        <w:t xml:space="preserve"> </w:t>
      </w:r>
      <w:r>
        <w:t xml:space="preserve">[@Paul2013]</w:t>
      </w:r>
      <w:r>
        <w:t xml:space="preserve">. During development in the bone marrow, B cells undergo rearrangement of Variable (V), Diversity (D), and Joining (J) gene segments to create a wide diversity of B cell receptors (BCRs). According to the clonal selection theory</w:t>
      </w:r>
      <w:r>
        <w:t xml:space="preserve"> </w:t>
      </w:r>
      <w:r>
        <w:t xml:space="preserve">[@Burnet1957]</w:t>
      </w:r>
      <w:r>
        <w:t xml:space="preserve">, all receptors expressed by the same B cell share the same unique antigen-binding site. During an immune response, B cells undergo rapid cycles of proliferation and targeted somatic hypermutation (SHM) in both heavy (H) chain and light (L) chain variable region genes</w:t>
      </w:r>
      <w:r>
        <w:t xml:space="preserve"> </w:t>
      </w:r>
      <w:r>
        <w:t xml:space="preserve">[@DiNoia2007]</w:t>
      </w:r>
      <w:r>
        <w:t xml:space="preserve">.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w:t>
      </w:r>
      <w:r>
        <w:t xml:space="preserve"> </w:t>
      </w:r>
      <w:r>
        <w:t xml:space="preserve">[@Schwartz2013; @Hershberg2015]</w:t>
      </w:r>
      <w:r>
        <w:t xml:space="preserve">.</w:t>
      </w:r>
    </w:p>
    <w:p>
      <w:pPr>
        <w:pStyle w:val="BodyText"/>
      </w:pPr>
      <w:r>
        <w:t xml:space="preserve">The diversity of the immune repertoire is extremely high, with an estimated 10^11 different BCRs existing in a single individual</w:t>
      </w:r>
      <w:r>
        <w:t xml:space="preserve"> </w:t>
      </w:r>
      <w:r>
        <w:t xml:space="preserve">[@Briney2019]</w:t>
      </w:r>
      <w:r>
        <w:t xml:space="preserve">. While it is clear that the diversity of the immune system is fundamental to its function</w:t>
      </w:r>
      <w:r>
        <w:t xml:space="preserve"> </w:t>
      </w:r>
      <w:r>
        <w:t xml:space="preserve">[@Paul2013]</w:t>
      </w:r>
      <w:r>
        <w:t xml:space="preserve">, the actual forms that immune repertoire diversity takes, in health and disease, have not been fully characterized</w:t>
      </w:r>
      <w:r>
        <w:t xml:space="preserve"> </w:t>
      </w:r>
      <w:r>
        <w:t xml:space="preserve">[@Schwartz2013]</w:t>
      </w:r>
      <w:r>
        <w:t xml:space="preserve">. Analyzing B cell repertoires helps understand how the immune system responds to infections, vaccinations, and diseases including cancer and autoimmune disorders</w:t>
      </w:r>
      <w:r>
        <w:t xml:space="preserve"> </w:t>
      </w:r>
      <w:r>
        <w:t xml:space="preserve">[@Yuuki2024]</w:t>
      </w:r>
      <w:r>
        <w:t xml:space="preserve">. Insights from repertoire studies guide the design of more effective vaccines by identifying specific mutations and the structural features of reactive antibody regions</w:t>
      </w:r>
      <w:r>
        <w:t xml:space="preserve"> </w:t>
      </w:r>
      <w:r>
        <w:t xml:space="preserve">[@Victora2012]</w:t>
      </w:r>
      <w:r>
        <w:t xml:space="preserve">. Additionally, tracking B cell repertoire changes and identifying characteristic patterns can be used for disease diagnosis, monitoring disease progression, predicting severity, and tailoring personalized treatments</w:t>
      </w:r>
      <w:r>
        <w:t xml:space="preserve"> </w:t>
      </w:r>
      <w:r>
        <w:t xml:space="preserve">[@Kim2019]</w:t>
      </w:r>
      <w:r>
        <w:t xml:space="preserve">.</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w:t>
      </w:r>
      <w:r>
        <w:t xml:space="preserve"> </w:t>
      </w:r>
      <w:r>
        <w:t xml:space="preserve">[@Xu2000]</w:t>
      </w:r>
      <w:r>
        <w:t xml:space="preserve">. The length and amino acid composition of the CDR3 loop directly influence the range of antigens an antibody can recognize</w:t>
      </w:r>
      <w:r>
        <w:t xml:space="preserve"> </w:t>
      </w:r>
      <w:r>
        <w:t xml:space="preserve">[@Saada2007]</w:t>
      </w:r>
      <w:r>
        <w:t xml:space="preserve">.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w:t>
      </w:r>
      <w:r>
        <w:t xml:space="preserve"> </w:t>
      </w:r>
      <w:r>
        <w:t xml:space="preserve">[@Hershberg2008; @Yaari2015]</w:t>
      </w:r>
      <w:r>
        <w:t xml:space="preserve">.</w:t>
      </w:r>
    </w:p>
    <w:bookmarkEnd w:id="26"/>
    <w:bookmarkStart w:id="27" w:name="Xa08f12d649e3367d5781fc6cfe4745b30e4838b"/>
    <w:p>
      <w:pPr>
        <w:pStyle w:val="Heading2"/>
      </w:pP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w:t>
      </w:r>
      <w:r>
        <w:t xml:space="preserve"> </w:t>
      </w:r>
      <w:r>
        <w:t xml:space="preserve">[@Kim2019]</w:t>
      </w:r>
      <w:r>
        <w:t xml:space="preserve">. High-throughput BCR repertoire sequencing was first described by Glanville et al. in 2009</w:t>
      </w:r>
      <w:r>
        <w:t xml:space="preserve"> </w:t>
      </w:r>
      <w:r>
        <w:t xml:space="preserve">[@Glanville2009]</w:t>
      </w:r>
      <w:r>
        <w:t xml:space="preserve">, and since then the volume of available data has increased exponentially</w:t>
      </w:r>
      <w:r>
        <w:t xml:space="preserve"> </w:t>
      </w:r>
      <w:r>
        <w:t xml:space="preserve">[@Marks2020]</w:t>
      </w:r>
      <w:r>
        <w:t xml:space="preserve">. Recently, significant efforts have been made to move beyond the model where most AIRR-seq data are stored and curated by individual laboratories</w:t>
      </w:r>
      <w:r>
        <w:t xml:space="preserve"> </w:t>
      </w:r>
      <w:r>
        <w:t xml:space="preserve">[@Corrie2018; @iReceptor]</w:t>
      </w:r>
      <w:r>
        <w:t xml:space="preserve">.</w:t>
      </w:r>
    </w:p>
    <w:p>
      <w:pPr>
        <w:pStyle w:val="BodyText"/>
      </w:pPr>
      <w:r>
        <w:t xml:space="preserve">A variety of tools, software platforms, and algorithms have been developed to store and analyze sequencing data</w:t>
      </w:r>
      <w:r>
        <w:t xml:space="preserve"> </w:t>
      </w:r>
      <w:r>
        <w:t xml:space="preserve">[@Guo2019; @Olsen2022]</w:t>
      </w:r>
      <w:r>
        <w:t xml:space="preserve">.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w:t>
      </w:r>
      <w:r>
        <w:t xml:space="preserve"> </w:t>
      </w:r>
      <w:r>
        <w:t xml:space="preserve">[@iReceptor]</w:t>
      </w:r>
      <w:r>
        <w:t xml:space="preserve"> </w:t>
      </w:r>
      <w:r>
        <w:t xml:space="preserve">— provide platforms for storing and sharing B cell repertoire data.</w:t>
      </w:r>
    </w:p>
    <w:p>
      <w:pPr>
        <w:pStyle w:val="BodyText"/>
      </w:pPr>
      <w:r>
        <w:t xml:space="preserve">The Adaptive Immune Receptor Repertoire (AIRR) Community has developed standards and protocols to facilitate data sharing and interoperability among different databases</w:t>
      </w:r>
      <w:r>
        <w:t xml:space="preserve"> </w:t>
      </w:r>
      <w:r>
        <w:t xml:space="preserve">[@VanderHeiden2018]</w:t>
      </w:r>
      <w:r>
        <w:t xml:space="preserve">.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w:t>
      </w:r>
      <w:r>
        <w:t xml:space="preserve"> </w:t>
      </w:r>
      <w:r>
        <w:t xml:space="preserve">[@Corrie2018]</w:t>
      </w:r>
      <w:r>
        <w:t xml:space="preserve">,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w:t>
      </w:r>
      <w:r>
        <w:t xml:space="preserve"> </w:t>
      </w:r>
      <w:r>
        <w:t xml:space="preserve">[@Gupta2015]</w:t>
      </w:r>
      <w:r>
        <w:t xml:space="preserve"> </w:t>
      </w:r>
      <w:r>
        <w:t xml:space="preserve">provides sophisticated packages for defining and analyzing clones and building lineage trees. MiXCR</w:t>
      </w:r>
      <w:r>
        <w:t xml:space="preserve"> </w:t>
      </w:r>
      <w:r>
        <w:t xml:space="preserve">[@Bolotin2015]</w:t>
      </w:r>
      <w:r>
        <w:t xml:space="preserve"> </w:t>
      </w:r>
      <w:r>
        <w:t xml:space="preserve">offers comprehensive adaptive immunity profiling from raw sequences. IgBLAST</w:t>
      </w:r>
      <w:r>
        <w:t xml:space="preserve"> </w:t>
      </w:r>
      <w:r>
        <w:t xml:space="preserve">[@Ye2013]</w:t>
      </w:r>
      <w:r>
        <w:t xml:space="preserve"> </w:t>
      </w:r>
      <w:r>
        <w:t xml:space="preserve">enables immunoglobulin variable domain sequence analysis. More recently, nf-core/airrflow</w:t>
      </w:r>
      <w:r>
        <w:t xml:space="preserve"> </w:t>
      </w:r>
      <w:r>
        <w:t xml:space="preserve">[@airrflow]</w:t>
      </w:r>
      <w:r>
        <w:t xml:space="preserve"> </w:t>
      </w:r>
      <w:r>
        <w:t xml:space="preserve">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w:t>
      </w:r>
      <w:r>
        <w:t xml:space="preserve"> </w:t>
      </w:r>
      <w:r>
        <w:t xml:space="preserve">[@Rosenfeld2017]</w:t>
      </w:r>
      <w:r>
        <w:t xml:space="preserve">,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w:t>
      </w:r>
      <w:r>
        <w:t xml:space="preserve"> </w:t>
      </w:r>
      <w:r>
        <w:t xml:space="preserve">[@Christley2020]</w:t>
      </w:r>
      <w:r>
        <w:t xml:space="preserve">.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Common Table Expression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w:t>
      </w:r>
      <w:r>
        <w:t xml:space="preserve"> </w:t>
      </w:r>
      <w:r>
        <w:t xml:space="preserve">[@Hoehn2021]</w:t>
      </w:r>
      <w:r>
        <w:t xml:space="preserve">.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w:t>
      </w:r>
      <w:r>
        <w:t xml:space="preserve"> </w:t>
      </w:r>
      <w:r>
        <w:t xml:space="preserve">[@Hoehn2021; @Galson2020; @Nielsen2020]</w:t>
      </w:r>
      <w:r>
        <w:t xml:space="preserve">.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0" w:name="materials-and-methods"/>
    <w:p>
      <w:pPr>
        <w:pStyle w:val="Heading1"/>
      </w:pPr>
      <w:r>
        <w:t xml:space="preserve">Materials and Methods</w:t>
      </w:r>
    </w:p>
    <w:bookmarkStart w:id="32" w:name="Xc5f81cf2ad782ded6d4ca40ca7147c262017470"/>
    <w:p>
      <w:pPr>
        <w:pStyle w:val="Heading2"/>
      </w:pP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w:t>
      </w:r>
      <w:r>
        <w:t xml:space="preserve"> </w:t>
      </w:r>
      <w:r>
        <w:t xml:space="preserve">[@Rubelt2017]</w:t>
      </w:r>
      <w:r>
        <w:t xml:space="preserve"> </w:t>
      </w:r>
      <w:r>
        <w:t xml:space="preserve">while allowing flexibility for experiment-specific fields. Each study was processed through the ImmuneDB pipeline — annotated with IgBLAST</w:t>
      </w:r>
      <w:r>
        <w:t xml:space="preserve"> </w:t>
      </w:r>
      <w:r>
        <w:t xml:space="preserve">[@Ye2013]</w:t>
      </w:r>
      <w:r>
        <w:t xml:space="preserve"> </w:t>
      </w:r>
      <w:r>
        <w:t xml:space="preserve">for germline assignment, clustered into clones, and stored with associated metadata in individual ImmuneDB database instances.</w:t>
      </w:r>
    </w:p>
    <w:p>
      <w:pPr>
        <w:pStyle w:val="BodyText"/>
      </w:pPr>
      <w:r>
        <w:t xml:space="preserve">Six studies were included in the analysis (</w:t>
      </w:r>
      <w:r>
        <w:rPr>
          <w:bCs/>
          <w:b/>
        </w:rPr>
        <w:t xml:space="preserve">Table 1</w:t>
      </w:r>
      <w:r>
        <w:t xml:space="preserve">):</w:t>
      </w:r>
    </w:p>
    <w:p>
      <w:pPr>
        <w:numPr>
          <w:ilvl w:val="0"/>
          <w:numId w:val="1003"/>
        </w:numPr>
        <w:pStyle w:val="Compact"/>
      </w:pPr>
      <w:r>
        <w:rPr>
          <w:bCs/>
          <w:b/>
        </w:rPr>
        <w:t xml:space="preserve">COVID Hospital Cohort 1</w:t>
      </w:r>
      <w:r>
        <w:t xml:space="preserve">: 51 individuals with severe, mild, and moderate COVID-19 from multiple hospital cohorts [29, 30].</w:t>
      </w:r>
    </w:p>
    <w:p>
      <w:pPr>
        <w:numPr>
          <w:ilvl w:val="0"/>
          <w:numId w:val="1003"/>
        </w:numPr>
        <w:pStyle w:val="Compact"/>
      </w:pPr>
      <w:r>
        <w:rPr>
          <w:bCs/>
          <w:b/>
        </w:rPr>
        <w:t xml:space="preserve">COVID Hospital Cohort 2</w:t>
      </w:r>
      <w:r>
        <w:t xml:space="preserve">: 19 individuals including severe, non-severe, recovered, and healthy individuals [31].</w:t>
      </w:r>
    </w:p>
    <w:p>
      <w:pPr>
        <w:numPr>
          <w:ilvl w:val="0"/>
          <w:numId w:val="1003"/>
        </w:numPr>
        <w:pStyle w:val="Compact"/>
      </w:pPr>
      <w:r>
        <w:rPr>
          <w:bCs/>
          <w:b/>
        </w:rPr>
        <w:t xml:space="preserve">COVID Convergent Signatures Study</w:t>
      </w:r>
      <w:r>
        <w:t xml:space="preserve">: 13 individuals with severe COVID-19 and healthy controls [32].</w:t>
      </w:r>
    </w:p>
    <w:p>
      <w:pPr>
        <w:numPr>
          <w:ilvl w:val="0"/>
          <w:numId w:val="1003"/>
        </w:numPr>
        <w:pStyle w:val="Compact"/>
      </w:pPr>
      <w:r>
        <w:rPr>
          <w:bCs/>
          <w:b/>
        </w:rPr>
        <w:t xml:space="preserve">mRNA Vaccine Study 1</w:t>
      </w:r>
      <w:r>
        <w:t xml:space="preserve">: 12 individuals from a COVID-19 mRNA vaccine study, including COVID-recovered vaccinees and COVID-naive vaccinees [33].</w:t>
      </w:r>
    </w:p>
    <w:p>
      <w:pPr>
        <w:numPr>
          <w:ilvl w:val="0"/>
          <w:numId w:val="1003"/>
        </w:numPr>
        <w:pStyle w:val="Compact"/>
      </w:pPr>
      <w:r>
        <w:rPr>
          <w:bCs/>
          <w:b/>
        </w:rPr>
        <w:t xml:space="preserve">mRNA Vaccine Study 2</w:t>
      </w:r>
      <w:r>
        <w:t xml:space="preserve">: 5 individuals from a second vaccine cohort with recovered individuals.</w:t>
      </w:r>
    </w:p>
    <w:p>
      <w:pPr>
        <w:numPr>
          <w:ilvl w:val="0"/>
          <w:numId w:val="1003"/>
        </w:numPr>
        <w:pStyle w:val="Compact"/>
      </w:pPr>
      <w:r>
        <w:rPr>
          <w:bCs/>
          <w:b/>
        </w:rPr>
        <w:t xml:space="preserve">Healthy Donor Atlas</w:t>
      </w:r>
      <w:r>
        <w:t xml:space="preserve">: 6 healthy control individuals (deceased organ donors) with no history of COVID-19 or vaccination [34].</w:t>
      </w:r>
    </w:p>
    <w:p>
      <w:pPr>
        <w:pStyle w:val="FirstParagraph"/>
      </w:pPr>
      <w:r>
        <w:t xml:space="preserve">A seventh study (pediatric gut transplant [47]) was available in the IS-API but excluded from this analysis as it is not relevant to COVID-19 or adult healthy controls.</w:t>
      </w:r>
    </w:p>
    <w:bookmarkEnd w:id="32"/>
    <w:bookmarkStart w:id="33" w:name="individual-selection-and-exclusions"/>
    <w:p>
      <w:pPr>
        <w:pStyle w:val="Heading2"/>
      </w:pP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the Healthy Donor Atlas (individuals with incomplete sequencing data) and two from the second vaccine study (fibroblast and water sequencing controls). Three additional healthy individuals from the COVID Convergent Signatures Study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and PBMC. Non-blood tissues (bone marrow, lymph node, lung, gut) were excluded from the cross-study comparison to ensure tissue homogeneity.</w:t>
      </w:r>
    </w:p>
    <w:bookmarkEnd w:id="33"/>
    <w:bookmarkStart w:id="34" w:name="disease-stage-harmonization"/>
    <w:p>
      <w:pPr>
        <w:pStyle w:val="Heading2"/>
      </w:pPr>
      <w:r>
        <w:t xml:space="preserve">Disease Stage Harmonization</w:t>
      </w:r>
    </w:p>
    <w:p>
      <w:pPr>
        <w:pStyle w:val="FirstParagraph"/>
      </w:pPr>
      <w:r>
        <w:t xml:space="preserve">Different studies used different terminology for disease stages. We harmonized these into six categories (</w:t>
      </w:r>
      <w:r>
        <w:rPr>
          <w:bCs/>
          <w:b/>
        </w:rPr>
        <w:t xml:space="preserve">Table 4</w:t>
      </w:r>
      <w:r>
        <w:t xml:space="preserve">):</w:t>
      </w:r>
    </w:p>
    <w:p>
      <w:pPr>
        <w:numPr>
          <w:ilvl w:val="0"/>
          <w:numId w:val="1004"/>
        </w:numPr>
        <w:pStyle w:val="Compact"/>
      </w:pPr>
      <w:r>
        <w:rPr>
          <w:bCs/>
          <w:b/>
        </w:rPr>
        <w:t xml:space="preserve">Severe</w:t>
      </w:r>
      <w:r>
        <w:t xml:space="preserve">:</w:t>
      </w:r>
      <w:r>
        <w:t xml:space="preserve"> </w:t>
      </w:r>
      <w:r>
        <w:t xml:space="preserve">“</w:t>
      </w:r>
      <w:r>
        <w:t xml:space="preserve">severe</w:t>
      </w:r>
      <w:r>
        <w:t xml:space="preserve">”</w:t>
      </w:r>
      <w:r>
        <w:t xml:space="preserve">,</w:t>
      </w:r>
      <w:r>
        <w:t xml:space="preserve"> </w:t>
      </w:r>
      <w:r>
        <w:t xml:space="preserve">“</w:t>
      </w:r>
      <w:r>
        <w:t xml:space="preserve">Early phase hypoxaemia</w:t>
      </w:r>
      <w:r>
        <w:t xml:space="preserve">”</w:t>
      </w:r>
    </w:p>
    <w:p>
      <w:pPr>
        <w:numPr>
          <w:ilvl w:val="0"/>
          <w:numId w:val="1004"/>
        </w:numPr>
        <w:pStyle w:val="Compact"/>
      </w:pPr>
      <w:r>
        <w:rPr>
          <w:bCs/>
          <w:b/>
        </w:rPr>
        <w:t xml:space="preserve">Moderate</w:t>
      </w:r>
      <w:r>
        <w:t xml:space="preserve">:</w:t>
      </w:r>
      <w:r>
        <w:t xml:space="preserve"> </w:t>
      </w:r>
      <w:r>
        <w:t xml:space="preserve">“</w:t>
      </w:r>
      <w:r>
        <w:t xml:space="preserve">Early phase-Stable</w:t>
      </w:r>
      <w:r>
        <w:t xml:space="preserve">”</w:t>
      </w:r>
      <w:r>
        <w:t xml:space="preserve">,</w:t>
      </w:r>
      <w:r>
        <w:t xml:space="preserve"> </w:t>
      </w:r>
      <w:r>
        <w:t xml:space="preserve">“</w:t>
      </w:r>
      <w:r>
        <w:t xml:space="preserve">Early phase-Improving</w:t>
      </w:r>
      <w:r>
        <w:t xml:space="preserve">”</w:t>
      </w:r>
    </w:p>
    <w:p>
      <w:pPr>
        <w:numPr>
          <w:ilvl w:val="0"/>
          <w:numId w:val="1004"/>
        </w:numPr>
        <w:pStyle w:val="Compact"/>
      </w:pPr>
      <w:r>
        <w:rPr>
          <w:bCs/>
          <w:b/>
        </w:rPr>
        <w:t xml:space="preserve">Mild</w:t>
      </w:r>
      <w:r>
        <w:t xml:space="preserve">:</w:t>
      </w:r>
      <w:r>
        <w:t xml:space="preserve"> </w:t>
      </w:r>
      <w:r>
        <w:t xml:space="preserve">“</w:t>
      </w:r>
      <w:r>
        <w:t xml:space="preserve">mild</w:t>
      </w:r>
      <w:r>
        <w:t xml:space="preserve">”</w:t>
      </w:r>
      <w:r>
        <w:t xml:space="preserve">,</w:t>
      </w:r>
      <w:r>
        <w:t xml:space="preserve"> </w:t>
      </w:r>
      <w:r>
        <w:t xml:space="preserve">“</w:t>
      </w:r>
      <w:r>
        <w:t xml:space="preserve">non-severe</w:t>
      </w:r>
      <w:r>
        <w:t xml:space="preserve">”</w:t>
      </w:r>
    </w:p>
    <w:p>
      <w:pPr>
        <w:numPr>
          <w:ilvl w:val="0"/>
          <w:numId w:val="1004"/>
        </w:numPr>
        <w:pStyle w:val="Compact"/>
      </w:pPr>
      <w:r>
        <w:rPr>
          <w:bCs/>
          <w:b/>
        </w:rPr>
        <w:t xml:space="preserve">Recovered</w:t>
      </w:r>
      <w:r>
        <w:t xml:space="preserve">:</w:t>
      </w:r>
      <w:r>
        <w:t xml:space="preserve"> </w:t>
      </w: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p>
      <w:pPr>
        <w:numPr>
          <w:ilvl w:val="0"/>
          <w:numId w:val="1004"/>
        </w:numPr>
        <w:pStyle w:val="Compact"/>
      </w:pPr>
      <w:r>
        <w:rPr>
          <w:bCs/>
          <w:b/>
        </w:rPr>
        <w:t xml:space="preserve">COVID Naive</w:t>
      </w:r>
      <w:r>
        <w:t xml:space="preserve">:</w:t>
      </w:r>
      <w:r>
        <w:t xml:space="preserve"> </w:t>
      </w:r>
      <w:r>
        <w:t xml:space="preserve">“</w:t>
      </w:r>
      <w:r>
        <w:t xml:space="preserve">COVID Naive</w:t>
      </w:r>
      <w:r>
        <w:t xml:space="preserve">”</w:t>
      </w:r>
      <w:r>
        <w:t xml:space="preserve"> </w:t>
      </w:r>
      <w:r>
        <w:t xml:space="preserve">— vaccinated individuals with no history of COVID-19 infection</w:t>
      </w:r>
    </w:p>
    <w:p>
      <w:pPr>
        <w:numPr>
          <w:ilvl w:val="0"/>
          <w:numId w:val="1004"/>
        </w:numPr>
        <w:pStyle w:val="Compact"/>
      </w:pPr>
      <w:r>
        <w:rPr>
          <w:bCs/>
          <w:b/>
        </w:rPr>
        <w:t xml:space="preserve">Healthy</w:t>
      </w:r>
      <w:r>
        <w:t xml:space="preserve">:</w:t>
      </w:r>
      <w:r>
        <w:t xml:space="preserve"> </w:t>
      </w:r>
      <w:r>
        <w:t xml:space="preserve">“</w:t>
      </w:r>
      <w:r>
        <w:t xml:space="preserve">healthy</w:t>
      </w:r>
      <w:r>
        <w:t xml:space="preserve">”</w:t>
      </w:r>
      <w:r>
        <w:t xml:space="preserve"> </w:t>
      </w:r>
      <w:r>
        <w:t xml:space="preserve">— individuals with no history of COVID-19 infection or vaccination</w:t>
      </w:r>
    </w:p>
    <w:p>
      <w:pPr>
        <w:pStyle w:val="FirstParagraph"/>
      </w:pPr>
      <w:r>
        <w:t xml:space="preserve">The final cohort comprised: Severe (n=26), Moderate (n=9), Mild (n=30), Recovered (n=12), COVID Naive (n=8), and Healthy (n=9) (</w:t>
      </w:r>
      <w:r>
        <w:rPr>
          <w:bCs/>
          <w:b/>
        </w:rPr>
        <w:t xml:space="preserve">Table 5</w:t>
      </w:r>
      <w:r>
        <w:t xml:space="preserve">). It is important to note that the Recovered group includes both naturally recovered individuals (3 from the second hospital cohort) and vaccinated individuals who had recovered from prior COVID-19 infection (5 from the second vaccine study, 4 from the first vaccine study). The COVID Naive group consists entirely of vaccinated individuals from the first vaccine study who had never been infected with SARS-CoV-2. The Healthy group consists of individuals with no known COVID-19 history and no vaccination (3 from the convergent signatures study, 6 from the healthy donor atlas).</w:t>
      </w:r>
    </w:p>
    <w:bookmarkEnd w:id="34"/>
    <w:bookmarkStart w:id="35" w:name="is-api-architecture-and-implementation"/>
    <w:p>
      <w:pPr>
        <w:pStyle w:val="Heading2"/>
      </w:pP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BodyText"/>
      </w:pPr>
      <w:r>
        <w:t xml:space="preserve">All endpoints are designed as POST requests. The request body contains two objects in JSON format:</w:t>
      </w:r>
    </w:p>
    <w:p>
      <w:pPr>
        <w:numPr>
          <w:ilvl w:val="0"/>
          <w:numId w:val="1005"/>
        </w:numPr>
        <w:pStyle w:val="Compact"/>
      </w:pPr>
      <w:r>
        <w:rPr>
          <w:bCs/>
          <w:b/>
        </w:rPr>
        <w:t xml:space="preserve">repertoires</w:t>
      </w:r>
      <w:r>
        <w:t xml:space="preserve">: specifies the metadata filters (e.g., disease_stage, tissue, sex, age)</w:t>
      </w:r>
    </w:p>
    <w:p>
      <w:pPr>
        <w:numPr>
          <w:ilvl w:val="0"/>
          <w:numId w:val="1005"/>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6"/>
        </w:numPr>
        <w:pStyle w:val="Compact"/>
      </w:pPr>
      <w:r>
        <w:rPr>
          <w:bCs/>
          <w:b/>
        </w:rPr>
        <w:t xml:space="preserve">Info</w:t>
      </w:r>
      <w:r>
        <w:t xml:space="preserve">: project information (title, version, contacts)</w:t>
      </w:r>
    </w:p>
    <w:p>
      <w:pPr>
        <w:numPr>
          <w:ilvl w:val="0"/>
          <w:numId w:val="1006"/>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queries, organized by endpoint controller and statistic type, is shown in</w:t>
      </w:r>
      <w:r>
        <w:t xml:space="preserve"> </w:t>
      </w:r>
      <w:r>
        <w:rPr>
          <w:bCs/>
          <w:b/>
        </w:rPr>
        <w:t xml:space="preserve">Table 3</w:t>
      </w:r>
      <w:r>
        <w:t xml:space="preserve">.</w:t>
      </w:r>
    </w:p>
    <w:p>
      <w:pPr>
        <w:pStyle w:val="BodyText"/>
      </w:pPr>
      <w:r>
        <w:t xml:space="preserve">Version 0.3.0 introduced CTE-based queries (sampleMetaCTE) that first identify all samples matching the requested metadata for each individual, then aggregate statistics across those samples. This ensures correct per-individual results regardless of the number of samples or time points available.</w:t>
      </w:r>
    </w:p>
    <w:bookmarkEnd w:id="35"/>
    <w:bookmarkStart w:id="36" w:name="statistical-endpoints"/>
    <w:p>
      <w:pPr>
        <w:pStyle w:val="Heading2"/>
      </w:pPr>
      <w:r>
        <w:t xml:space="preserve">Statistical Endpoints</w:t>
      </w:r>
    </w:p>
    <w:p>
      <w:pPr>
        <w:pStyle w:val="FirstParagraph"/>
      </w:pPr>
      <w:r>
        <w:t xml:space="preserve">IS-API provides a flexible and dynamic set of endpoints across four controllers. Importantly, many parameters are not hard-coded — researchers can choose how to measure and filter clones according to their specific research question.</w:t>
      </w:r>
    </w:p>
    <w:p>
      <w:pPr>
        <w:pStyle w:val="BodyText"/>
      </w:pPr>
      <w:r>
        <w:rPr>
          <w:bCs/>
          <w:b/>
        </w:rPr>
        <w:t xml:space="preserve">Clone endpoints:</w:t>
      </w:r>
    </w:p>
    <w:p>
      <w:pPr>
        <w:numPr>
          <w:ilvl w:val="0"/>
          <w:numId w:val="1007"/>
        </w:numPr>
        <w:pStyle w:val="Compact"/>
      </w:pPr>
      <w:r>
        <w:rPr>
          <w:iCs/>
          <w:i/>
        </w:rPr>
        <w:t xml:space="preserve">clone_count</w:t>
      </w:r>
      <w:r>
        <w:t xml:space="preserve">: Number of distinct clones per individual. The expansion threshold (default: 20 or more unique sequences) is configurable and can be adjusted to study clones at different levels of expansion.</w:t>
      </w:r>
    </w:p>
    <w:p>
      <w:pPr>
        <w:numPr>
          <w:ilvl w:val="0"/>
          <w:numId w:val="1007"/>
        </w:numPr>
        <w:pStyle w:val="Compact"/>
      </w:pPr>
      <w:r>
        <w:rPr>
          <w:iCs/>
          <w:i/>
        </w:rPr>
        <w:t xml:space="preserve">clone_size</w:t>
      </w:r>
      <w:r>
        <w:t xml:space="preserve">: Size of each clone, which can be measured in three different ways depending on the research question: by unique sequences (distinct sequences assigned to the clone), by copies (total sequence copies including duplicates), or by instances (number of samples in which the clone appears). This flexibility allows researchers to study clonal expansion from different perspectives — unique sequences reflect diversity, copies reflect abundance, and instances reflect tissue distribution.</w:t>
      </w:r>
    </w:p>
    <w:p>
      <w:pPr>
        <w:numPr>
          <w:ilvl w:val="0"/>
          <w:numId w:val="1007"/>
        </w:numPr>
        <w:pStyle w:val="Compact"/>
      </w:pPr>
      <w:r>
        <w:rPr>
          <w:iCs/>
          <w:i/>
        </w:rPr>
        <w:t xml:space="preserve">topX_clone_size_copies</w:t>
      </w:r>
      <w:r>
        <w:t xml:space="preserve">: Cumulative sequence copies for the top 10, 100, and 1000 clones per individual, measuring repertoire concentration.</w:t>
      </w:r>
    </w:p>
    <w:p>
      <w:pPr>
        <w:pStyle w:val="FirstParagraph"/>
      </w:pPr>
      <w:r>
        <w:rPr>
          <w:bCs/>
          <w:b/>
        </w:rPr>
        <w:t xml:space="preserve">Mutation endpoints:</w:t>
      </w:r>
    </w:p>
    <w:p>
      <w:pPr>
        <w:numPr>
          <w:ilvl w:val="0"/>
          <w:numId w:val="1008"/>
        </w:numPr>
        <w:pStyle w:val="Compact"/>
      </w:pPr>
      <w:r>
        <w:rPr>
          <w:iCs/>
          <w:i/>
        </w:rPr>
        <w:t xml:space="preserve">topX_mutation_level</w:t>
      </w:r>
      <w:r>
        <w:t xml:space="preserve">: Average mutation count across the top clones per individual.</w:t>
      </w:r>
    </w:p>
    <w:p>
      <w:pPr>
        <w:numPr>
          <w:ilvl w:val="0"/>
          <w:numId w:val="1008"/>
        </w:numPr>
        <w:pStyle w:val="Compact"/>
      </w:pPr>
      <w:r>
        <w:rPr>
          <w:iCs/>
          <w:i/>
        </w:rPr>
        <w:t xml:space="preserve">mutation_by_region</w:t>
      </w:r>
      <w:r>
        <w:t xml:space="preserve">: Mutation counts split by CDR versus framework regions.</w:t>
      </w:r>
    </w:p>
    <w:p>
      <w:pPr>
        <w:numPr>
          <w:ilvl w:val="0"/>
          <w:numId w:val="1008"/>
        </w:numPr>
        <w:pStyle w:val="Compact"/>
      </w:pPr>
      <w:r>
        <w:rPr>
          <w:iCs/>
          <w:i/>
        </w:rPr>
        <w:t xml:space="preserve">mutation_by_type</w:t>
      </w:r>
      <w:r>
        <w:t xml:space="preserve">: Replacement versus silent mutation counts.</w:t>
      </w:r>
    </w:p>
    <w:p>
      <w:pPr>
        <w:numPr>
          <w:ilvl w:val="0"/>
          <w:numId w:val="1008"/>
        </w:numPr>
        <w:pStyle w:val="Compact"/>
      </w:pPr>
      <w:r>
        <w:rPr>
          <w:iCs/>
          <w:i/>
        </w:rPr>
        <w:t xml:space="preserve">mutations_rs_ratio</w:t>
      </w:r>
      <w:r>
        <w:t xml:space="preserve">: Non-synonymous (replacement) and synonymous (silent) mutation counts in CDR and framework (FW) regions per individual, enabling computation of NS/S ratios.</w:t>
      </w:r>
    </w:p>
    <w:p>
      <w:pPr>
        <w:pStyle w:val="FirstParagraph"/>
      </w:pPr>
      <w:r>
        <w:rPr>
          <w:bCs/>
          <w:b/>
        </w:rPr>
        <w:t xml:space="preserve">CDR3 endpoints:</w:t>
      </w:r>
    </w:p>
    <w:p>
      <w:pPr>
        <w:numPr>
          <w:ilvl w:val="0"/>
          <w:numId w:val="1009"/>
        </w:numPr>
        <w:pStyle w:val="Compact"/>
      </w:pPr>
      <w:r>
        <w:rPr>
          <w:iCs/>
          <w:i/>
        </w:rPr>
        <w:t xml:space="preserve">topX_nt_AVG_CDR3_length</w:t>
      </w:r>
      <w:r>
        <w:t xml:space="preserve">: Average CDR3 nucleotide length for the top 10, 100, and 1000 clones per individual.</w:t>
      </w:r>
    </w:p>
    <w:p>
      <w:pPr>
        <w:numPr>
          <w:ilvl w:val="0"/>
          <w:numId w:val="1009"/>
        </w:numPr>
        <w:pStyle w:val="Compact"/>
      </w:pPr>
      <w:r>
        <w:rPr>
          <w:iCs/>
          <w:i/>
        </w:rPr>
        <w:t xml:space="preserve">topX_AA_AVG_CDR3_length</w:t>
      </w:r>
      <w:r>
        <w:t xml:space="preserve">: Average CDR3 amino acid length for the top 10, 100, and 1000 clones per individual.</w:t>
      </w:r>
    </w:p>
    <w:p>
      <w:pPr>
        <w:numPr>
          <w:ilvl w:val="0"/>
          <w:numId w:val="1009"/>
        </w:numPr>
        <w:pStyle w:val="Compact"/>
      </w:pPr>
      <w:r>
        <w:rPr>
          <w:iCs/>
          <w:i/>
        </w:rPr>
        <w:t xml:space="preserve">cdr3_length_distribution</w:t>
      </w:r>
      <w:r>
        <w:t xml:space="preserve">: Mean, standard deviation, and clone count for CDR3 length in both amino acids and nucleotides per individual — providing a comprehensive view of CDR3 length properties across the entire clone repertoire, not just the top clones.</w:t>
      </w:r>
    </w:p>
    <w:p>
      <w:pPr>
        <w:pStyle w:val="FirstParagraph"/>
      </w:pPr>
      <w:r>
        <w:rPr>
          <w:bCs/>
          <w:b/>
        </w:rPr>
        <w:t xml:space="preserve">V gene usage endpoint:</w:t>
      </w:r>
    </w:p>
    <w:p>
      <w:pPr>
        <w:numPr>
          <w:ilvl w:val="0"/>
          <w:numId w:val="1010"/>
        </w:numPr>
        <w:pStyle w:val="Compact"/>
      </w:pPr>
      <w:r>
        <w:rPr>
          <w:iCs/>
          <w:i/>
        </w:rPr>
        <w:t xml:space="preserve">v_gene_usage</w:t>
      </w:r>
      <w:r>
        <w:t xml:space="preserve">: Clone count and total copies per V gene per individual.</w:t>
      </w:r>
    </w:p>
    <w:bookmarkEnd w:id="36"/>
    <w:bookmarkStart w:id="37" w:name="biological-statistical-measures"/>
    <w:p>
      <w:pPr>
        <w:pStyle w:val="Heading2"/>
      </w:pPr>
      <w:r>
        <w:t xml:space="preserve">Biological Statistical Measures</w:t>
      </w:r>
    </w:p>
    <w:p>
      <w:pPr>
        <w:pStyle w:val="FirstParagraph"/>
      </w:pPr>
      <w:r>
        <w:t xml:space="preserve">For the COVID-19 clonal analysis, we computed the following measures per individual (blood samples only):</w:t>
      </w:r>
    </w:p>
    <w:p>
      <w:pPr>
        <w:numPr>
          <w:ilvl w:val="0"/>
          <w:numId w:val="1011"/>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w:t>
      </w:r>
      <w:r>
        <w:t xml:space="preserve"> </w:t>
      </w:r>
      <w:r>
        <w:t xml:space="preserve">[@Tuomisto2010; @Schwartz2013b]</w:t>
      </w:r>
      <w:r>
        <w:t xml:space="preserve">.</w:t>
      </w:r>
    </w:p>
    <w:p>
      <w:pPr>
        <w:numPr>
          <w:ilvl w:val="0"/>
          <w:numId w:val="1011"/>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11"/>
        </w:numPr>
      </w:pPr>
      <w:r>
        <w:rPr>
          <w:bCs/>
          <w:b/>
        </w:rPr>
        <w:t xml:space="preserve">NS/S mutation ratio</w:t>
      </w:r>
      <w:r>
        <w:t xml:space="preserve">: The ratio of non-synonymous (replacement) to synonymous (silent) mutations, computed separately for CDR and framework regions. An NS/S ratio greater than 1 in CDR regions indicates positive selection for antigen binding; a ratio near 1 in framework regions indicates purifying selection to maintain structural integrity</w:t>
      </w:r>
      <w:r>
        <w:t xml:space="preserve"> </w:t>
      </w:r>
      <w:r>
        <w:t xml:space="preserve">[@Hershberg2008]</w:t>
      </w:r>
      <w:r>
        <w:t xml:space="preserve">.</w:t>
      </w:r>
    </w:p>
    <w:p>
      <w:pPr>
        <w:numPr>
          <w:ilvl w:val="0"/>
          <w:numId w:val="1011"/>
        </w:numPr>
      </w:pPr>
      <w:r>
        <w:rPr>
          <w:bCs/>
          <w:b/>
        </w:rPr>
        <w:t xml:space="preserve">CDR3 length</w:t>
      </w:r>
      <w:r>
        <w:t xml:space="preserve">: Mean and standard deviation of CDR3 amino acid length across all clones per individual.</w:t>
      </w:r>
    </w:p>
    <w:p>
      <w:pPr>
        <w:numPr>
          <w:ilvl w:val="0"/>
          <w:numId w:val="1011"/>
        </w:numPr>
      </w:pPr>
      <w:r>
        <w:rPr>
          <w:bCs/>
          <w:b/>
        </w:rPr>
        <w:t xml:space="preserve">V gene usage</w:t>
      </w:r>
      <w:r>
        <w:t xml:space="preserve">: Frequency of each V gene across individuals, filtered to V genes present at 1% or higher frequency in at least 85% of individuals.</w:t>
      </w:r>
    </w:p>
    <w:bookmarkEnd w:id="37"/>
    <w:bookmarkStart w:id="38" w:name="statistical-analysis"/>
    <w:p>
      <w:pPr>
        <w:pStyle w:val="Heading2"/>
      </w:pP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38"/>
    <w:bookmarkStart w:id="39" w:name="visualization"/>
    <w:p>
      <w:pPr>
        <w:pStyle w:val="Heading2"/>
      </w:pP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39"/>
    <w:bookmarkEnd w:id="40"/>
    <w:bookmarkStart w:id="51" w:name="results"/>
    <w:p>
      <w:pPr>
        <w:pStyle w:val="Heading1"/>
      </w:pPr>
      <w:r>
        <w:t xml:space="preserve">Results</w:t>
      </w:r>
    </w:p>
    <w:bookmarkStart w:id="43" w:name="part-1-is-api-tool-capabilities-1"/>
    <w:p>
      <w:pPr>
        <w:pStyle w:val="Heading2"/>
      </w:pPr>
      <w:r>
        <w:t xml:space="preserve">Part 1: IS-API Tool Capabilities</w:t>
      </w:r>
    </w:p>
    <w:bookmarkStart w:id="41" w:name="X0dc5015c466ba5f8101d47296a0fe60ee5a0057"/>
    <w:p>
      <w:pPr>
        <w:pStyle w:val="Heading3"/>
      </w:pPr>
      <w:r>
        <w:t xml:space="preserve">Querying Repertoire Statistics Across Studies</w:t>
      </w:r>
    </w:p>
    <w:p>
      <w:pPr>
        <w:pStyle w:val="FirstParagraph"/>
      </w:pPr>
      <w:r>
        <w:t xml:space="preserve">One of the main strengths of IS-API is that it enables researchers to conduct a high-level investigation of available data and thereby refine their research questions — or at least become aware of potential pitfalls — before investing in detailed analysis. This investigation can be made through simple queries that execute within seconds.</w:t>
      </w:r>
    </w:p>
    <w:p>
      <w:pPr>
        <w:pStyle w:val="BodyText"/>
      </w:pPr>
      <w:r>
        <w:t xml:space="preserve">To demonstrate the range of IS-API’s capabilities, we queried the clone, mutation, and CDR3 endpoints across all six studies, filtering for blood-derived samples and grouping by disease stage. The following figures illustrate the breadth of questions that can be answered through the API.</w:t>
      </w:r>
    </w:p>
    <w:p>
      <w:pPr>
        <w:pStyle w:val="BodyText"/>
      </w:pPr>
      <w:r>
        <w:rPr>
          <w:bCs/>
          <w:b/>
        </w:rPr>
        <w:t xml:space="preserve">Clone count and clonal concentration.</w:t>
      </w:r>
      <w:r>
        <w:t xml:space="preserve"> </w:t>
      </w:r>
      <w:r>
        <w:t xml:space="preserve">Querying the clone_count endpoint revealed the number of distinct clones (with 20 or more unique sequences) per individual across disease categories (</w:t>
      </w:r>
      <w:r>
        <w:rPr>
          <w:bCs/>
          <w:b/>
        </w:rPr>
        <w:t xml:space="preserve">Figure 1</w:t>
      </w:r>
      <w:r>
        <w:t xml:space="preserve">). This provides an immediate overview of repertoire richness across the cohort. Querying the topX_clone_size_copies endpoint showed the fraction of total sequence copies accounted for by the top 10, 100, and 1000 clones (</w:t>
      </w:r>
      <w:r>
        <w:rPr>
          <w:bCs/>
          <w:b/>
        </w:rPr>
        <w:t xml:space="preserve">Figure 2</w:t>
      </w:r>
      <w:r>
        <w:t xml:space="preserve">), revealing the degree of oligoclonal dominance in each disease category.</w:t>
      </w:r>
    </w:p>
    <w:p>
      <w:pPr>
        <w:pStyle w:val="BodyText"/>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3</w:t>
      </w:r>
      <w:r>
        <w:t xml:space="preserve">), along with the range of CDR3 lengths (</w:t>
      </w:r>
      <w:r>
        <w:rPr>
          <w:bCs/>
          <w:b/>
        </w:rPr>
        <w:t xml:space="preserve">Figure 4</w:t>
      </w:r>
      <w:r>
        <w:t xml:space="preserve">). These figures illustrate how IS-API can characterize the antigen-binding loop properties of the most expanded clones across disease categories.</w:t>
      </w:r>
    </w:p>
    <w:p>
      <w:pPr>
        <w:pStyle w:val="BodyText"/>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5</w:t>
      </w:r>
      <w:r>
        <w:t xml:space="preserve">), while the mutation gradient across clone size ranks (top 10 vs. remaining top 100 vs. remaining top 1000) revealed how mutation accumulation varies with clonal expansion (</w:t>
      </w:r>
      <w:r>
        <w:rPr>
          <w:bCs/>
          <w:b/>
        </w:rPr>
        <w:t xml:space="preserve">Figure 6</w:t>
      </w:r>
      <w:r>
        <w:t xml:space="preserve">). Region-specific queries separated CDR from framework mutations (</w:t>
      </w:r>
      <w:r>
        <w:rPr>
          <w:bCs/>
          <w:b/>
        </w:rPr>
        <w:t xml:space="preserve">Figure 7</w:t>
      </w:r>
      <w:r>
        <w:t xml:space="preserve">), and the NS/S ratio endpoint provided an overview of selection pressure across disease categories (</w:t>
      </w:r>
      <w:r>
        <w:rPr>
          <w:bCs/>
          <w:b/>
        </w:rPr>
        <w:t xml:space="preserve">Figure 8</w:t>
      </w:r>
      <w:r>
        <w:t xml:space="preserve">).</w:t>
      </w:r>
    </w:p>
    <w:p>
      <w:pPr>
        <w:pStyle w:val="BodyText"/>
      </w:pPr>
      <w:r>
        <w:rPr>
          <w:bCs/>
          <w:b/>
        </w:rPr>
        <w:t xml:space="preserve">Clone size and expansion.</w:t>
      </w:r>
      <w:r>
        <w:t xml:space="preserve"> </w:t>
      </w:r>
      <w:r>
        <w:t xml:space="preserve">The clone_size endpoint returned the distribution of clone sizes across disease categories (</w:t>
      </w:r>
      <w:r>
        <w:rPr>
          <w:bCs/>
          <w:b/>
        </w:rPr>
        <w:t xml:space="preserve">Figure 9</w:t>
      </w:r>
      <w:r>
        <w:t xml:space="preserve">), the count of expanded clones per individual (</w:t>
      </w:r>
      <w:r>
        <w:rPr>
          <w:bCs/>
          <w:b/>
        </w:rPr>
        <w:t xml:space="preserve">Figure 10</w:t>
      </w:r>
      <w:r>
        <w:t xml:space="preserve">), and the size of expanded clones (</w:t>
      </w:r>
      <w:r>
        <w:rPr>
          <w:bCs/>
          <w:b/>
        </w:rPr>
        <w:t xml:space="preserve">Figure 11</w:t>
      </w:r>
      <w:r>
        <w:t xml:space="preserve">).</w:t>
      </w:r>
    </w:p>
    <w:p>
      <w:pPr>
        <w:pStyle w:val="BodyText"/>
      </w:pPr>
      <w:r>
        <w:rPr>
          <w:bCs/>
          <w:b/>
        </w:rPr>
        <w:t xml:space="preserve">Sex-stratified analysis.</w:t>
      </w:r>
      <w:r>
        <w:t xml:space="preserve"> </w:t>
      </w:r>
      <w:r>
        <w:t xml:space="preserve">By combining disease_stage and sex metadata filters in a single query, IS-API enabled examination of mutation levels (</w:t>
      </w:r>
      <w:r>
        <w:rPr>
          <w:bCs/>
          <w:b/>
        </w:rPr>
        <w:t xml:space="preserve">Figure 12</w:t>
      </w:r>
      <w:r>
        <w:t xml:space="preserve">) and CDR3 lengths (</w:t>
      </w:r>
      <w:r>
        <w:rPr>
          <w:bCs/>
          <w:b/>
        </w:rPr>
        <w:t xml:space="preserve">Figure 13</w:t>
      </w:r>
      <w:r>
        <w:t xml:space="preserve">) in the top 10 clones, stratified by both sex and disease category. This demonstrates the API’s ability to perform intersectional queries across multiple metadata dimensions.</w:t>
      </w:r>
    </w:p>
    <w:bookmarkEnd w:id="41"/>
    <w:bookmarkStart w:id="42" w:name="within-individual-cross-tissue-analysis"/>
    <w:p>
      <w:pPr>
        <w:pStyle w:val="Heading3"/>
      </w:pP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14</w:t>
      </w:r>
      <w:r>
        <w:t xml:space="preserve">), clone sizes (</w:t>
      </w:r>
      <w:r>
        <w:rPr>
          <w:bCs/>
          <w:b/>
        </w:rPr>
        <w:t xml:space="preserve">Figure 15</w:t>
      </w:r>
      <w:r>
        <w:t xml:space="preserve">), and paired tissue measurements (</w:t>
      </w:r>
      <w:r>
        <w:rPr>
          <w:bCs/>
          <w:b/>
        </w:rPr>
        <w:t xml:space="preserve">Figure 16</w:t>
      </w:r>
      <w:r>
        <w:t xml:space="preserve">) within the same individual.</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w:t>
      </w:r>
      <w:r>
        <w:t xml:space="preserve"> </w:t>
      </w:r>
      <w:r>
        <w:t xml:space="preserve">[@Meng2017; @Stern2014]</w:t>
      </w:r>
      <w:r>
        <w:t xml:space="preserve">.</w:t>
      </w:r>
    </w:p>
    <w:bookmarkEnd w:id="42"/>
    <w:bookmarkEnd w:id="43"/>
    <w:bookmarkStart w:id="50" w:name="part-2-covid-19-clonal-analysis-1"/>
    <w:p>
      <w:pPr>
        <w:pStyle w:val="Heading2"/>
      </w:pPr>
      <w:r>
        <w:t xml:space="preserve">Part 2: COVID-19 Clonal Analysis</w:t>
      </w:r>
    </w:p>
    <w:p>
      <w:pPr>
        <w:pStyle w:val="FirstParagraph"/>
      </w:pPr>
      <w:r>
        <w:t xml:space="preserve">Having demonstrated IS-API’s querying capabilities, we applied the tool to a focused clonal analysis of BCR repertoires across COVID-19 disease severities. All analyses in this section use blood-derived samples only, with individuals grouped into six harmonized disease categories: Severe (n=26), Moderate (n=9), Mild (n=30), Recovered (n=12), COVID Naive (n=8), and Healthy (n=9).</w:t>
      </w:r>
    </w:p>
    <w:bookmarkStart w:id="44" w:name="X48f0727e95ba0a8daf9741742366660e615f42a"/>
    <w:p>
      <w:pPr>
        <w:pStyle w:val="Heading3"/>
      </w:pPr>
      <w:r>
        <w:t xml:space="preserve">Clonal Diversity Across Disease Severities</w:t>
      </w:r>
    </w:p>
    <w:p>
      <w:pPr>
        <w:pStyle w:val="FirstParagraph"/>
      </w:pPr>
      <w:r>
        <w:t xml:space="preserve">To assess overall clonal diversity, we computed Hill numbers of orders 0 (richness), 1 (Shannon), and 2 (Simpson) from the clone size distribution of each individual (</w:t>
      </w:r>
      <w:r>
        <w:rPr>
          <w:bCs/>
          <w:b/>
        </w:rPr>
        <w:t xml:space="preserve">Figure 17</w:t>
      </w:r>
      <w:r>
        <w:t xml:space="preserve">).</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18</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bookmarkEnd w:id="44"/>
    <w:bookmarkStart w:id="45" w:name="X3f5b631ded05b3dcd12510f37cac77f411a6406"/>
    <w:p>
      <w:pPr>
        <w:pStyle w:val="Heading3"/>
      </w:pPr>
      <w:r>
        <w:t xml:space="preserve">Expanded Clones and Clone Size Distribution</w:t>
      </w:r>
    </w:p>
    <w:p>
      <w:pPr>
        <w:pStyle w:val="FirstParagraph"/>
      </w:pPr>
      <w:r>
        <w:t xml:space="preserve">We examined the number of expanded clones at three expansion thresholds: 20, 50, and 100 unique sequences per clone (</w:t>
      </w:r>
      <w:r>
        <w:rPr>
          <w:bCs/>
          <w:b/>
        </w:rPr>
        <w:t xml:space="preserve">Figure 19</w:t>
      </w:r>
      <w:r>
        <w:t xml:space="preserve">). 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t xml:space="preserve">The clone size distribution analysis (</w:t>
      </w:r>
      <w:r>
        <w:rPr>
          <w:bCs/>
          <w:b/>
        </w:rPr>
        <w:t xml:space="preserve">Figure 20</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bookmarkEnd w:id="45"/>
    <w:bookmarkStart w:id="46" w:name="somatic-hypermutation-nss-ratios"/>
    <w:p>
      <w:pPr>
        <w:pStyle w:val="Heading3"/>
      </w:pPr>
      <w:r>
        <w:t xml:space="preserve">Somatic Hypermutation: NS/S Ratios</w:t>
      </w:r>
    </w:p>
    <w:p>
      <w:pPr>
        <w:pStyle w:val="FirstParagraph"/>
      </w:pPr>
      <w:r>
        <w:t xml:space="preserve">The ratio of non-synonymous to synonymous mutations (NS/S ratio) provides insight into the selection pressures acting on the B cell repertoire. We computed NS/S ratios separately for CDR and framework (FW) regions (</w:t>
      </w:r>
      <w:r>
        <w:rPr>
          <w:bCs/>
          <w:b/>
        </w:rPr>
        <w:t xml:space="preserve">Figure 21</w:t>
      </w:r>
      <w:r>
        <w:t xml:space="preserve">).</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46"/>
    <w:bookmarkStart w:id="47" w:name="cdr3-length-distribution"/>
    <w:p>
      <w:pPr>
        <w:pStyle w:val="Heading3"/>
      </w:pPr>
      <w:r>
        <w:t xml:space="preserve">CDR3 Length Distribution</w:t>
      </w:r>
    </w:p>
    <w:p>
      <w:pPr>
        <w:pStyle w:val="FirstParagraph"/>
      </w:pPr>
      <w:r>
        <w:t xml:space="preserve">The CDR3 amino acid length distribution was analyzed per individual, with both the mean and standard deviation computed across all clones (</w:t>
      </w:r>
      <w:r>
        <w:rPr>
          <w:bCs/>
          <w:b/>
        </w:rPr>
        <w:t xml:space="preserve">Figure 22</w:t>
      </w:r>
      <w:r>
        <w:t xml:space="preserve">).</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47"/>
    <w:bookmarkStart w:id="48" w:name="v-gene-usage"/>
    <w:p>
      <w:pPr>
        <w:pStyle w:val="Heading3"/>
      </w:pP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23</w:t>
      </w:r>
      <w:r>
        <w:t xml:space="preserve">). 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w:t>
      </w:r>
      <w:r>
        <w:t xml:space="preserve"> </w:t>
      </w:r>
      <w:r>
        <w:t xml:space="preserve">[@Yang2021]</w:t>
      </w:r>
      <w:r>
        <w:t xml:space="preserve">.</w:t>
      </w:r>
    </w:p>
    <w:bookmarkEnd w:id="48"/>
    <w:bookmarkStart w:id="49" w:name="age-and-gender-as-potential-confounders"/>
    <w:p>
      <w:pPr>
        <w:pStyle w:val="Heading3"/>
      </w:pP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BodyText"/>
      </w:pPr>
      <w:r>
        <w:rPr>
          <w:bCs/>
          <w:b/>
        </w:rPr>
        <w:t xml:space="preserve">Age (</w:t>
      </w:r>
      <w:r>
        <w:t xml:space="preserve">Figure 24</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BodyText"/>
      </w:pPr>
      <w:r>
        <w:rPr>
          <w:bCs/>
          <w:b/>
        </w:rPr>
        <w:t xml:space="preserve">Gender (</w:t>
      </w:r>
      <w:r>
        <w:t xml:space="preserve">Figure 25</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49"/>
    <w:bookmarkEnd w:id="50"/>
    <w:bookmarkEnd w:id="51"/>
    <w:bookmarkStart w:id="56" w:name="discussion-and-conclusions"/>
    <w:p>
      <w:pPr>
        <w:pStyle w:val="Heading1"/>
      </w:pPr>
      <w:r>
        <w:t xml:space="preserve">Discussion and Conclusions</w:t>
      </w:r>
    </w:p>
    <w:bookmarkStart w:id="52" w:name="X1adb304ed4de094e294cdd20c5432b83670de9e"/>
    <w:p>
      <w:pPr>
        <w:pStyle w:val="Heading2"/>
      </w:pP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w:t>
      </w:r>
      <w:r>
        <w:t xml:space="preserve"> </w:t>
      </w:r>
      <w:r>
        <w:t xml:space="preserve">[@Briney2019; @Soto2019]</w:t>
      </w:r>
      <w:r>
        <w:t xml:space="preserve">.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w:t>
      </w:r>
      <w:r>
        <w:t xml:space="preserve"> </w:t>
      </w:r>
      <w:r>
        <w:t xml:space="preserve">[@Corrie2018; @iReceptor]</w:t>
      </w:r>
      <w:r>
        <w:t xml:space="preserve"> </w:t>
      </w:r>
      <w:r>
        <w:t xml:space="preserve">provides federated access to AIRR-seq data but operates at the sequence level rather than the clone level, making it difficult to perform clonal analyses. The AIRR Data Commons API</w:t>
      </w:r>
      <w:r>
        <w:t xml:space="preserve"> </w:t>
      </w:r>
      <w:r>
        <w:t xml:space="preserve">[@Christley2020]</w:t>
      </w:r>
      <w:r>
        <w:t xml:space="preserve"> </w:t>
      </w:r>
      <w:r>
        <w:t xml:space="preserve">provides standardized access to repertoire metadata but does not compute statistical summaries. The Immcantation Framework</w:t>
      </w:r>
      <w:r>
        <w:t xml:space="preserve"> </w:t>
      </w:r>
      <w:r>
        <w:t xml:space="preserve">[@Gupta2015]</w:t>
      </w:r>
      <w:r>
        <w:t xml:space="preserve"> </w:t>
      </w:r>
      <w:r>
        <w:t xml:space="preserve">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52"/>
    <w:bookmarkStart w:id="53" w:name="X5a10b7ac314f547fa47742c173a60aa39f2ce55"/>
    <w:p>
      <w:pPr>
        <w:pStyle w:val="Heading2"/>
      </w:pP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w:t>
      </w:r>
      <w:r>
        <w:t xml:space="preserve"> </w:t>
      </w:r>
      <w:r>
        <w:t xml:space="preserve">[@Hoehn2021; @Galson2020]</w:t>
      </w:r>
      <w:r>
        <w:t xml:space="preserve">.</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w:t>
      </w:r>
      <w:r>
        <w:t xml:space="preserve"> </w:t>
      </w:r>
      <w:r>
        <w:t xml:space="preserve">[@Kaneko2020]</w:t>
      </w:r>
      <w:r>
        <w:t xml:space="preserve">.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w:t>
      </w:r>
      <w:r>
        <w:t xml:space="preserve"> </w:t>
      </w:r>
      <w:r>
        <w:t xml:space="preserve">[@Saada2007]</w:t>
      </w:r>
      <w:r>
        <w:t xml:space="preserve">.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w:t>
      </w:r>
      <w:r>
        <w:t xml:space="preserve"> </w:t>
      </w:r>
      <w:r>
        <w:t xml:space="preserve">[@Yang2021; @Briney2019]</w:t>
      </w:r>
      <w:r>
        <w:t xml:space="preserve">. While specific antibody lineages targeting SARS-CoV-2 epitopes may preferentially use certain V genes</w:t>
      </w:r>
      <w:r>
        <w:t xml:space="preserve"> </w:t>
      </w:r>
      <w:r>
        <w:t xml:space="preserve">[@Robbiani2020]</w:t>
      </w:r>
      <w:r>
        <w:t xml:space="preserve">,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53"/>
    <w:bookmarkStart w:id="54" w:name="limitations"/>
    <w:p>
      <w:pPr>
        <w:pStyle w:val="Heading2"/>
      </w:pP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54"/>
    <w:bookmarkStart w:id="55" w:name="conclusions"/>
    <w:p>
      <w:pPr>
        <w:pStyle w:val="Heading2"/>
      </w:pP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55"/>
    <w:bookmarkEnd w:id="56"/>
    <w:bookmarkStart w:id="57" w:name="references"/>
    <w:p>
      <w:pPr>
        <w:pStyle w:val="Heading1"/>
      </w:pPr>
      <w:r>
        <w:t xml:space="preserve">References</w:t>
      </w:r>
    </w:p>
    <w:p>
      <w:pPr>
        <w:numPr>
          <w:ilvl w:val="0"/>
          <w:numId w:val="1012"/>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12"/>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12"/>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12"/>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12"/>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12"/>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12"/>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12"/>
        </w:numPr>
      </w:pPr>
      <w:r>
        <w:t xml:space="preserve">Victora, G. D., &amp; Nussenzweig, M. C. (2012). Germinal centers.</w:t>
      </w:r>
      <w:r>
        <w:t xml:space="preserve"> </w:t>
      </w:r>
      <w:r>
        <w:rPr>
          <w:iCs/>
          <w:i/>
        </w:rPr>
        <w:t xml:space="preserve">Annual Review of Immunology</w:t>
      </w:r>
      <w:r>
        <w:t xml:space="preserve">, 30, 429-457.</w:t>
      </w:r>
    </w:p>
    <w:p>
      <w:pPr>
        <w:numPr>
          <w:ilvl w:val="0"/>
          <w:numId w:val="1012"/>
        </w:numPr>
      </w:pPr>
      <w:r>
        <w:t xml:space="preserve">Kim, D., &amp; Park, D. (2019). Deep sequencing of B cell receptor repertoire.</w:t>
      </w:r>
      <w:r>
        <w:t xml:space="preserve"> </w:t>
      </w:r>
      <w:r>
        <w:rPr>
          <w:iCs/>
          <w:i/>
        </w:rPr>
        <w:t xml:space="preserve">BMB Reports</w:t>
      </w:r>
      <w:r>
        <w:t xml:space="preserve">, 52(9), 540-547.</w:t>
      </w:r>
    </w:p>
    <w:p>
      <w:pPr>
        <w:numPr>
          <w:ilvl w:val="0"/>
          <w:numId w:val="1012"/>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12"/>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12"/>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12"/>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12"/>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12"/>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12"/>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12"/>
        </w:numPr>
      </w:pPr>
      <w:r>
        <w:t xml:space="preserve">iReceptor Gateway. https://gateway.ireceptor.org</w:t>
      </w:r>
    </w:p>
    <w:p>
      <w:pPr>
        <w:numPr>
          <w:ilvl w:val="0"/>
          <w:numId w:val="1012"/>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12"/>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12"/>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12"/>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12"/>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12"/>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12"/>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12"/>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12"/>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12"/>
        </w:numPr>
      </w:pPr>
      <w:r>
        <w:t xml:space="preserve">Lambert, M., Surhone, L., Tennoe, M. T., &amp; Henssonow, S. F. (2010).</w:t>
      </w:r>
      <w:r>
        <w:t xml:space="preserve"> </w:t>
      </w:r>
      <w:r>
        <w:rPr>
          <w:iCs/>
          <w:i/>
        </w:rPr>
        <w:t xml:space="preserve">Node.js</w:t>
      </w:r>
      <w:r>
        <w:t xml:space="preserve">. Betascript Publishing.</w:t>
      </w:r>
    </w:p>
    <w:p>
      <w:pPr>
        <w:numPr>
          <w:ilvl w:val="0"/>
          <w:numId w:val="1012"/>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12"/>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12"/>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12"/>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12"/>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12"/>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12"/>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12"/>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12"/>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12"/>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12"/>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12"/>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12"/>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12"/>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12"/>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12"/>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12"/>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12"/>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12"/>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12"/>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12"/>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2026-08-29T03:28:45Z</dcterms:created>
  <dcterms:modified xsi:type="dcterms:W3CDTF">2026-08-29T03:28:45Z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