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2.png" ContentType="image/png"/>
  <Override PartName="/word/media/rId96.png" ContentType="image/png"/>
  <Override PartName="/word/media/rId99.png" ContentType="image/png"/>
  <Override PartName="/word/media/rId106.png" ContentType="image/png"/>
  <Override PartName="/word/media/rId109.png" ContentType="image/png"/>
  <Override PartName="/word/media/rId112.png" ContentType="image/png"/>
  <Override PartName="/word/media/rId115.png" ContentType="image/png"/>
  <Override PartName="/word/media/rId80.png" ContentType="image/png"/>
  <Override PartName="/word/media/rId89.png" ContentType="image/png"/>
  <Override PartName="/word/media/rId133.png" ContentType="image/png"/>
  <Override PartName="/word/media/rId136.png" ContentType="image/png"/>
  <Override PartName="/word/media/rId140.png" ContentType="image/png"/>
  <Override PartName="/word/media/rId143.png" ContentType="image/png"/>
  <Override PartName="/word/media/rId146.png" ContentType="image/png"/>
  <Override PartName="/word/media/rId73.png" ContentType="image/png"/>
  <Override PartName="/word/media/rId76.png" ContentType="image/png"/>
  <Override PartName="/word/media/rId83.png" ContentType="image/png"/>
  <Override PartName="/word/media/rId86.png" ContentType="image/png"/>
  <Override PartName="/word/media/rId118.png" ContentType="image/png"/>
  <Override PartName="/word/media/rId102.png" ContentType="image/png"/>
  <Override PartName="/word/media/rId122.png" ContentType="image/png"/>
  <Override PartName="/word/media/rId126.png" ContentType="image/png"/>
  <Override PartName="/word/media/rId129.png" ContentType="image/png"/>
  <Override PartName="/word/media/rId54.png" ContentType="image/png"/>
  <Override PartName="/word/media/rId57.png" ContentType="image/png"/>
  <Override PartName="/word/media/rId66.png" ContentType="image/png"/>
  <Override PartName="/word/media/rId60.png" ContentType="image/png"/>
  <Override PartName="/word/media/rId63.png" ContentType="image/png"/>
  <Override PartName="/word/media/rId51.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t xml:space="preserve">Results Figures</w:t>
      </w:r>
    </w:p>
    <w:p>
      <w:pPr>
        <w:pStyle w:val="FirstParagraph"/>
      </w:pPr>
      <w:r>
        <w:rPr>
          <w:bCs/>
          <w:b/>
        </w:rPr>
        <w:t xml:space="preserve">Figure 1.</w:t>
      </w:r>
      <w:r>
        <w:t xml:space="preserve"> </w:t>
      </w:r>
      <w:r>
        <w:t xml:space="preserve">Clone count distribution by disease stage. Each dot represents one individual; boxplots show median and interquartile range. Clone count is defined as the number of distinct clones with 20 or more unique sequences per individual. Blood-derived samples only. Disease categories ordered: Severe, Moderate, Mild, Recovered, COVID Naive, Healthy.</w:t>
      </w:r>
    </w:p>
    <w:p>
      <w:pPr>
        <w:pStyle w:val="BodyText"/>
      </w:pPr>
      <w:r>
        <w:rPr>
          <w:bCs/>
          <w:b/>
        </w:rPr>
        <w:t xml:space="preserve">Figure 2.</w:t>
      </w:r>
      <w:r>
        <w:t xml:space="preserve"> </w:t>
      </w:r>
      <w:r>
        <w:t xml:space="preserve">Clonal diversity across disease stages measured by Hill numbers of orders 0 (richness), 1 (Shannon entropy), and 2 (Simpson). Each dot is one individual; boxplots show median and IQR. Kruskal-Wallis p-values and pairwise Mann-Whitney U comparisons with Bonferroni correction are annotated. Higher values indicate greater diversity.</w:t>
      </w:r>
    </w:p>
    <w:p>
      <w:pPr>
        <w:pStyle w:val="BodyText"/>
      </w:pPr>
      <w:r>
        <w:rPr>
          <w:bCs/>
          <w:b/>
        </w:rPr>
        <w:t xml:space="preserve">Figure 3.</w:t>
      </w:r>
      <w:r>
        <w:t xml:space="preserve"> </w:t>
      </w:r>
      <w:r>
        <w:t xml:space="preserve">Diversity profiles by disease stage. Each thin line represents one individual’s Hill number profile (Order 0 to Order 2); thick lines show group medians. A steep drop from Order 0 to Order 2 indicates dominance by a few large clones; a gradual decline indicates a more even clone size distribution.</w:t>
      </w:r>
    </w:p>
    <w:p>
      <w:pPr>
        <w:pStyle w:val="BodyText"/>
      </w:pPr>
      <w:r>
        <w:rPr>
          <w:bCs/>
          <w:b/>
        </w:rPr>
        <w:t xml:space="preserve">Figure 4.</w:t>
      </w:r>
      <w:r>
        <w:t xml:space="preserve"> </w:t>
      </w:r>
      <w:r>
        <w:t xml:space="preserve">Expanded clone count by disease stage. Number of clones exceeding the expansion threshold (≥20 unique sequences) per individual, grouped by disease category. Each dot represents one individual.</w:t>
      </w:r>
    </w:p>
    <w:p>
      <w:pPr>
        <w:pStyle w:val="BodyText"/>
      </w:pPr>
      <w:r>
        <w:rPr>
          <w:bCs/>
          <w:b/>
        </w:rPr>
        <w:t xml:space="preserve">Figure 5.</w:t>
      </w:r>
      <w:r>
        <w:t xml:space="preserve"> </w:t>
      </w:r>
      <w:r>
        <w:t xml:space="preserve">Number of expanded clones at three expansion thresholds (&gt;20, &gt;50, &gt;100 unique sequences) by disease stage. Each panel shows one threshold. At higher thresholds, differences between disease groups become more pronounced.</w:t>
      </w:r>
    </w:p>
    <w:p>
      <w:pPr>
        <w:pStyle w:val="BodyText"/>
      </w:pPr>
      <w:r>
        <w:rPr>
          <w:bCs/>
          <w:b/>
        </w:rPr>
        <w:t xml:space="preserve">Figure 6.</w:t>
      </w:r>
      <w:r>
        <w:t xml:space="preserve"> </w:t>
      </w:r>
      <w:r>
        <w:t xml:space="preserve">Clone size distribution by disease stage showing two views. Panel A: violin plots with overlaid boxplots of all individual clone sizes (log-transformed). Panel B: median clone size per individual by disease category. Kruskal-Wallis p-value annotated.</w:t>
      </w:r>
    </w:p>
    <w:p>
      <w:pPr>
        <w:pStyle w:val="BodyText"/>
      </w:pPr>
      <w:r>
        <w:rPr>
          <w:bCs/>
          <w:b/>
        </w:rPr>
        <w:t xml:space="preserve">Figure 7.</w:t>
      </w:r>
      <w:r>
        <w:t xml:space="preserve"> </w:t>
      </w:r>
      <w:r>
        <w:t xml:space="preserve">Expanded clone size by disease stage. Mean size (unique sequences) of expanded clones per individual, grouped by disease category. Each dot represents one individual.</w:t>
      </w:r>
    </w:p>
    <w:p>
      <w:pPr>
        <w:pStyle w:val="BodyText"/>
      </w:pPr>
      <w:r>
        <w:rPr>
          <w:bCs/>
          <w:b/>
        </w:rPr>
        <w:t xml:space="preserve">Figure 8.</w:t>
      </w:r>
      <w:r>
        <w:t xml:space="preserve"> </w:t>
      </w:r>
      <w:r>
        <w:t xml:space="preserve">Fraction of total sequence copies accounted for by the top 10, 100, and 1000 clones per individual, shown as stacked bars by disease stage. Higher values indicate greater oligoclonal dominance.</w:t>
      </w:r>
    </w:p>
    <w:p>
      <w:pPr>
        <w:pStyle w:val="BodyText"/>
      </w:pPr>
      <w:r>
        <w:rPr>
          <w:bCs/>
          <w:b/>
        </w:rPr>
        <w:t xml:space="preserve">Figure 9.</w:t>
      </w:r>
      <w:r>
        <w:t xml:space="preserve"> </w:t>
      </w:r>
      <w:r>
        <w:t xml:space="preserve">Mean CDR3 amino acid length of the top 10 clones per individual, grouped by disease stage. Each dot represents one individual; boxplots show median and IQR.</w:t>
      </w:r>
    </w:p>
    <w:p>
      <w:pPr>
        <w:pStyle w:val="BodyText"/>
      </w:pPr>
      <w:r>
        <w:rPr>
          <w:bCs/>
          <w:b/>
        </w:rPr>
        <w:t xml:space="preserve">Figure 10.</w:t>
      </w:r>
      <w:r>
        <w:t xml:space="preserve"> </w:t>
      </w:r>
      <w:r>
        <w:t xml:space="preserve">CDR3 length range (max minus min amino acid length) of the top 10 clones per individual by disease stage.</w:t>
      </w:r>
    </w:p>
    <w:p>
      <w:pPr>
        <w:pStyle w:val="BodyText"/>
      </w:pPr>
      <w:r>
        <w:rPr>
          <w:bCs/>
          <w:b/>
        </w:rPr>
        <w:t xml:space="preserve">Figure 11.</w:t>
      </w:r>
      <w:r>
        <w:t xml:space="preserve"> </w:t>
      </w:r>
      <w:r>
        <w:t xml:space="preserve">CDR3 amino acid length distribution across all clones per individual. Panel A: mean CDR3 length by disease stage with Kruskal-Wallis p-value. Panel B: standard deviation of CDR3 length, reflecting within-individual variability. Each dot is one individual.</w:t>
      </w:r>
    </w:p>
    <w:p>
      <w:pPr>
        <w:pStyle w:val="BodyText"/>
      </w:pPr>
      <w:r>
        <w:rPr>
          <w:bCs/>
          <w:b/>
        </w:rPr>
        <w:t xml:space="preserve">Figure 12.</w:t>
      </w:r>
      <w:r>
        <w:t xml:space="preserve"> </w:t>
      </w:r>
      <w:r>
        <w:t xml:space="preserve">Total somatic hypermutation level in the top 10 clones per individual, grouped by disease stage.</w:t>
      </w:r>
    </w:p>
    <w:p>
      <w:pPr>
        <w:pStyle w:val="BodyText"/>
      </w:pPr>
      <w:r>
        <w:rPr>
          <w:bCs/>
          <w:b/>
        </w:rPr>
        <w:t xml:space="preserve">Figure 13.</w:t>
      </w:r>
      <w:r>
        <w:t xml:space="preserve"> </w:t>
      </w:r>
      <w:r>
        <w:t xml:space="preserve">Mutation gradient across clone size ranks (top 10, remaining top 100, remaining top 1000) by disease stage. Shows how mutation accumulation varies with clonal expansion rank.</w:t>
      </w:r>
    </w:p>
    <w:p>
      <w:pPr>
        <w:pStyle w:val="BodyText"/>
      </w:pPr>
      <w:r>
        <w:rPr>
          <w:bCs/>
          <w:b/>
        </w:rPr>
        <w:t xml:space="preserve">Figure 14.</w:t>
      </w:r>
      <w:r>
        <w:t xml:space="preserve"> </w:t>
      </w:r>
      <w:r>
        <w:t xml:space="preserve">CDR and FW region-specific mutation counts by disease stage. Mutations are split into CDR and framework (FW) regions to distinguish antigen-contact from structural mutations.</w:t>
      </w:r>
    </w:p>
    <w:p>
      <w:pPr>
        <w:pStyle w:val="BodyText"/>
      </w:pPr>
      <w:r>
        <w:rPr>
          <w:bCs/>
          <w:b/>
        </w:rPr>
        <w:t xml:space="preserve">Figure 15.</w:t>
      </w:r>
      <w:r>
        <w:t xml:space="preserve"> </w:t>
      </w:r>
      <w:r>
        <w:t xml:space="preserve">NS/S ratio overview by disease stage. Non-synonymous to synonymous mutation ratio for all clones per individual. Values above 1.0 indicate positive (diversifying) selection.</w:t>
      </w:r>
    </w:p>
    <w:p>
      <w:pPr>
        <w:pStyle w:val="BodyText"/>
      </w:pPr>
      <w:r>
        <w:rPr>
          <w:bCs/>
          <w:b/>
        </w:rPr>
        <w:t xml:space="preserve">Figure 16.</w:t>
      </w:r>
      <w:r>
        <w:t xml:space="preserve"> </w:t>
      </w:r>
      <w:r>
        <w:t xml:space="preserve">NS/S ratio by region and disease stage. Panel A: CDR region NS/S ratio. Panel B: FW region NS/S ratio. Panel C: average non-synonymous and synonymous mutation counts as stacked bars for CDR and FW regions. Kruskal-Wallis p-values annotated.</w:t>
      </w:r>
    </w:p>
    <w:p>
      <w:pPr>
        <w:pStyle w:val="BodyText"/>
      </w:pPr>
      <w:r>
        <w:rPr>
          <w:bCs/>
          <w:b/>
        </w:rPr>
        <w:t xml:space="preserve">Figure 17.</w:t>
      </w:r>
      <w:r>
        <w:t xml:space="preserve"> </w:t>
      </w:r>
      <w:r>
        <w:t xml:space="preserve">V gene usage heatmap by disease stage. Color intensity represents mean frequency of each V gene segment across individuals in each disease category. Only V genes present at ≥1% frequency in ≥85% of individuals are shown (16 genes).</w:t>
      </w:r>
    </w:p>
    <w:p>
      <w:pPr>
        <w:pStyle w:val="BodyText"/>
      </w:pPr>
      <w:r>
        <w:rPr>
          <w:bCs/>
          <w:b/>
        </w:rPr>
        <w:t xml:space="preserve">Figure 18.</w:t>
      </w:r>
      <w:r>
        <w:t xml:space="preserve"> </w:t>
      </w:r>
      <w:r>
        <w:t xml:space="preserve">Clonal metrics versus age by disease stage. Panel A: clone count (log scale) vs. age. Panel B: mean CDR3 length vs. age. Panel C: CDR NS/S ratio vs. age. Each dot is one individual, colored by disease category. Three CD3 healthy individuals (H3, H4, H8) excluded due to missing age/sex metadata.</w:t>
      </w:r>
    </w:p>
    <w:p>
      <w:pPr>
        <w:pStyle w:val="BodyText"/>
      </w:pPr>
      <w:r>
        <w:rPr>
          <w:bCs/>
          <w:b/>
        </w:rPr>
        <w:t xml:space="preserve">Figure 19.</w:t>
      </w:r>
      <w:r>
        <w:t xml:space="preserve"> </w:t>
      </w:r>
      <w:r>
        <w:t xml:space="preserve">Clonal metrics by gender and disease stage. Panel A: clone count (log scale). Panel B: mean CDR3 length. Panel C: CDR NS/S ratio. Boxplots compare male and female individuals within each disease category.</w:t>
      </w:r>
    </w:p>
    <w:p>
      <w:pPr>
        <w:pStyle w:val="BodyText"/>
      </w:pPr>
      <w:r>
        <w:rPr>
          <w:bCs/>
          <w:b/>
        </w:rPr>
        <w:t xml:space="preserve">Figure 20.</w:t>
      </w:r>
      <w:r>
        <w:t xml:space="preserve"> </w:t>
      </w:r>
      <w:r>
        <w:t xml:space="preserve">Mutation level in top 10 clones stratified by sex and disease stage. Shows IS-API’s ability to perform intersectional queries across multiple metadata dimensions simultaneously.</w:t>
      </w:r>
    </w:p>
    <w:p>
      <w:pPr>
        <w:pStyle w:val="BodyText"/>
      </w:pPr>
      <w:r>
        <w:rPr>
          <w:bCs/>
          <w:b/>
        </w:rPr>
        <w:t xml:space="preserve">Figure 21.</w:t>
      </w:r>
      <w:r>
        <w:t xml:space="preserve"> </w:t>
      </w:r>
      <w:r>
        <w:t xml:space="preserve">CDR3 length in top 10 clones stratified by sex and disease stage.</w:t>
      </w:r>
    </w:p>
    <w:p>
      <w:pPr>
        <w:pStyle w:val="BodyText"/>
      </w:pPr>
      <w:r>
        <w:rPr>
          <w:bCs/>
          <w:b/>
        </w:rPr>
        <w:t xml:space="preserve">Figure 22.</w:t>
      </w:r>
      <w:r>
        <w:t xml:space="preserve"> </w:t>
      </w:r>
      <w:r>
        <w:t xml:space="preserve">Within-individual clone count across tissues (cross-study comparison). For individuals with samples from multiple tissues (e.g., blood and bone marrow in HC1, blood and lung in CD1).</w:t>
      </w:r>
    </w:p>
    <w:p>
      <w:pPr>
        <w:pStyle w:val="BodyText"/>
      </w:pPr>
      <w:r>
        <w:rPr>
          <w:bCs/>
          <w:b/>
        </w:rPr>
        <w:t xml:space="preserve">Figure 23.</w:t>
      </w:r>
      <w:r>
        <w:t xml:space="preserve"> </w:t>
      </w:r>
      <w:r>
        <w:t xml:space="preserve">Within-individual clone size across tissues (cross-study comparison).</w:t>
      </w:r>
    </w:p>
    <w:p>
      <w:pPr>
        <w:pStyle w:val="BodyText"/>
      </w:pPr>
      <w:r>
        <w:rPr>
          <w:bCs/>
          <w:b/>
        </w:rPr>
        <w:t xml:space="preserve">Figure 24.</w:t>
      </w:r>
      <w:r>
        <w:t xml:space="preserve"> </w:t>
      </w:r>
      <w:r>
        <w:t xml:space="preserve">Within-individual tissue comparison (paired line plots). Lines connect measurements from different tissues within the same individual, illustrating tissue-specific repertoire differences.</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5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rPr>
          <w:bCs/>
          <w:b/>
        </w:rPr>
        <w:t xml:space="preserve">Table 3.</w:t>
      </w:r>
      <w:r>
        <w:t xml:space="preserve"> </w:t>
      </w:r>
      <w:r>
        <w:t xml:space="preserve">IS-API biological/statistical endpoints organized by controller.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Controller</w:t>
            </w:r>
          </w:p>
        </w:tc>
        <w:tc>
          <w:tcPr/>
          <w:p>
            <w:pPr>
              <w:pStyle w:val="Compact"/>
              <w:jc w:val="left"/>
            </w:pPr>
            <w:r>
              <w:t xml:space="preserve">Endpoint</w:t>
            </w:r>
          </w:p>
        </w:tc>
        <w:tc>
          <w:tcPr/>
          <w:p>
            <w:pPr>
              <w:pStyle w:val="Compact"/>
              <w:jc w:val="left"/>
            </w:pPr>
            <w:r>
              <w:t xml:space="preserve">Statistic</w:t>
            </w:r>
          </w:p>
        </w:tc>
        <w:tc>
          <w:tcPr/>
          <w:p>
            <w:pPr>
              <w:pStyle w:val="Compact"/>
              <w:jc w:val="left"/>
            </w:pPr>
            <w:r>
              <w:t xml:space="preserve">Configurable Parameters</w:t>
            </w:r>
          </w:p>
        </w:tc>
      </w:tr>
      <w:tr>
        <w:tc>
          <w:tcPr/>
          <w:p>
            <w:pPr>
              <w:pStyle w:val="Compact"/>
              <w:jc w:val="left"/>
            </w:pPr>
            <w:r>
              <w:t xml:space="preserve">Clones</w:t>
            </w:r>
          </w:p>
        </w:tc>
        <w:tc>
          <w:tcPr/>
          <w:p>
            <w:pPr>
              <w:pStyle w:val="Compact"/>
              <w:jc w:val="left"/>
            </w:pPr>
            <w:r>
              <w:t xml:space="preserve">clone_count</w:t>
            </w:r>
          </w:p>
        </w:tc>
        <w:tc>
          <w:tcPr/>
          <w:p>
            <w:pPr>
              <w:pStyle w:val="Compact"/>
              <w:jc w:val="left"/>
            </w:pPr>
            <w:r>
              <w:t xml:space="preserve">Number of distinct clones per individual</w:t>
            </w:r>
          </w:p>
        </w:tc>
        <w:tc>
          <w:tcPr/>
          <w:p>
            <w:pPr>
              <w:pStyle w:val="Compact"/>
              <w:jc w:val="left"/>
            </w:pPr>
            <w:r>
              <w:t xml:space="preserve">Expansion threshold (default: ≥20 unique sequences)</w:t>
            </w:r>
          </w:p>
        </w:tc>
      </w:tr>
      <w:tr>
        <w:tc>
          <w:tcPr/>
          <w:p>
            <w:pPr>
              <w:pStyle w:val="Compact"/>
              <w:jc w:val="left"/>
            </w:pPr>
            <w:r>
              <w:t xml:space="preserve">Clones</w:t>
            </w:r>
          </w:p>
        </w:tc>
        <w:tc>
          <w:tcPr/>
          <w:p>
            <w:pPr>
              <w:pStyle w:val="Compact"/>
              <w:jc w:val="left"/>
            </w:pPr>
            <w:r>
              <w:t xml:space="preserve">clone_size</w:t>
            </w:r>
          </w:p>
        </w:tc>
        <w:tc>
          <w:tcPr/>
          <w:p>
            <w:pPr>
              <w:pStyle w:val="Compact"/>
              <w:jc w:val="left"/>
            </w:pPr>
            <w:r>
              <w:t xml:space="preserve">Size of each clone</w:t>
            </w:r>
          </w:p>
        </w:tc>
        <w:tc>
          <w:tcPr/>
          <w:p>
            <w:pPr>
              <w:pStyle w:val="Compact"/>
              <w:jc w:val="left"/>
            </w:pPr>
            <w:r>
              <w:t xml:space="preserve">Measure by: unique sequences, instances, or copy number</w:t>
            </w:r>
          </w:p>
        </w:tc>
      </w:tr>
      <w:tr>
        <w:tc>
          <w:tcPr/>
          <w:p>
            <w:pPr>
              <w:pStyle w:val="Compact"/>
              <w:jc w:val="left"/>
            </w:pPr>
            <w:r>
              <w:t xml:space="preserve">Clones</w:t>
            </w:r>
          </w:p>
        </w:tc>
        <w:tc>
          <w:tcPr/>
          <w:p>
            <w:pPr>
              <w:pStyle w:val="Compact"/>
              <w:jc w:val="left"/>
            </w:pPr>
            <w:r>
              <w:t xml:space="preserve">topX_clone_size_copies</w:t>
            </w:r>
          </w:p>
        </w:tc>
        <w:tc>
          <w:tcPr/>
          <w:p>
            <w:pPr>
              <w:pStyle w:val="Compact"/>
              <w:jc w:val="left"/>
            </w:pPr>
            <w:r>
              <w:t xml:space="preserve">Cumulative copies for top 10/100/1000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topX_mutation_level</w:t>
            </w:r>
          </w:p>
        </w:tc>
        <w:tc>
          <w:tcPr/>
          <w:p>
            <w:pPr>
              <w:pStyle w:val="Compact"/>
              <w:jc w:val="left"/>
            </w:pPr>
            <w:r>
              <w:t xml:space="preserve">Average mutation count in top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mutation_by_region</w:t>
            </w:r>
          </w:p>
        </w:tc>
        <w:tc>
          <w:tcPr/>
          <w:p>
            <w:pPr>
              <w:pStyle w:val="Compact"/>
              <w:jc w:val="left"/>
            </w:pPr>
            <w:r>
              <w:t xml:space="preserve">Mutation counts split by CDR vs. FW</w:t>
            </w:r>
          </w:p>
        </w:tc>
        <w:tc>
          <w:tcPr/>
          <w:p>
            <w:pPr>
              <w:pStyle w:val="Compact"/>
              <w:jc w:val="left"/>
            </w:pPr>
            <w:r>
              <w:t xml:space="preserve">Region (CDR, FW)</w:t>
            </w:r>
          </w:p>
        </w:tc>
      </w:tr>
      <w:tr>
        <w:tc>
          <w:tcPr/>
          <w:p>
            <w:pPr>
              <w:pStyle w:val="Compact"/>
              <w:jc w:val="left"/>
            </w:pPr>
            <w:r>
              <w:t xml:space="preserve">Mutations</w:t>
            </w:r>
          </w:p>
        </w:tc>
        <w:tc>
          <w:tcPr/>
          <w:p>
            <w:pPr>
              <w:pStyle w:val="Compact"/>
              <w:jc w:val="left"/>
            </w:pPr>
            <w:r>
              <w:t xml:space="preserve">mutation_by_type</w:t>
            </w:r>
          </w:p>
        </w:tc>
        <w:tc>
          <w:tcPr/>
          <w:p>
            <w:pPr>
              <w:pStyle w:val="Compact"/>
              <w:jc w:val="left"/>
            </w:pPr>
            <w:r>
              <w:t xml:space="preserve">Non-synonymous vs. synonymous mutation counts</w:t>
            </w:r>
          </w:p>
        </w:tc>
        <w:tc>
          <w:tcPr/>
          <w:p>
            <w:pPr>
              <w:pStyle w:val="Compact"/>
              <w:jc w:val="left"/>
            </w:pPr>
            <w:r>
              <w:t xml:space="preserve">—</w:t>
            </w:r>
          </w:p>
        </w:tc>
      </w:tr>
      <w:tr>
        <w:tc>
          <w:tcPr/>
          <w:p>
            <w:pPr>
              <w:pStyle w:val="Compact"/>
              <w:jc w:val="left"/>
            </w:pPr>
            <w:r>
              <w:t xml:space="preserve">Mutations</w:t>
            </w:r>
          </w:p>
        </w:tc>
        <w:tc>
          <w:tcPr/>
          <w:p>
            <w:pPr>
              <w:pStyle w:val="Compact"/>
              <w:jc w:val="left"/>
            </w:pPr>
            <w:r>
              <w:t xml:space="preserve">mutations_rs_ratio</w:t>
            </w:r>
          </w:p>
        </w:tc>
        <w:tc>
          <w:tcPr/>
          <w:p>
            <w:pPr>
              <w:pStyle w:val="Compact"/>
              <w:jc w:val="left"/>
            </w:pPr>
            <w:r>
              <w:t xml:space="preserve">NS/S mutation counts in CDR and FW regions</w:t>
            </w:r>
          </w:p>
        </w:tc>
        <w:tc>
          <w:tcPr/>
          <w:p>
            <w:pPr>
              <w:pStyle w:val="Compact"/>
              <w:jc w:val="left"/>
            </w:pPr>
            <w:r>
              <w:t xml:space="preserve">Region (CDR, FW)</w:t>
            </w:r>
          </w:p>
        </w:tc>
      </w:tr>
      <w:tr>
        <w:tc>
          <w:tcPr/>
          <w:p>
            <w:pPr>
              <w:pStyle w:val="Compact"/>
              <w:jc w:val="left"/>
            </w:pPr>
            <w:r>
              <w:t xml:space="preserve">CDR3</w:t>
            </w:r>
          </w:p>
        </w:tc>
        <w:tc>
          <w:tcPr/>
          <w:p>
            <w:pPr>
              <w:pStyle w:val="Compact"/>
              <w:jc w:val="left"/>
            </w:pPr>
            <w:r>
              <w:t xml:space="preserve">topX_nt_AVG_CDR3_length</w:t>
            </w:r>
          </w:p>
        </w:tc>
        <w:tc>
          <w:tcPr/>
          <w:p>
            <w:pPr>
              <w:pStyle w:val="Compact"/>
              <w:jc w:val="left"/>
            </w:pPr>
            <w:r>
              <w:t xml:space="preserve">Average CDR3 nucleotide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topX_AA_AVG_CDR3_length</w:t>
            </w:r>
          </w:p>
        </w:tc>
        <w:tc>
          <w:tcPr/>
          <w:p>
            <w:pPr>
              <w:pStyle w:val="Compact"/>
              <w:jc w:val="left"/>
            </w:pPr>
            <w:r>
              <w:t xml:space="preserve">Average CDR3 amino acid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cdr3_length_distribution</w:t>
            </w:r>
          </w:p>
        </w:tc>
        <w:tc>
          <w:tcPr/>
          <w:p>
            <w:pPr>
              <w:pStyle w:val="Compact"/>
              <w:jc w:val="left"/>
            </w:pPr>
            <w:r>
              <w:t xml:space="preserve">Mean, SD, and clone count for CDR3 length</w:t>
            </w:r>
          </w:p>
        </w:tc>
        <w:tc>
          <w:tcPr/>
          <w:p>
            <w:pPr>
              <w:pStyle w:val="Compact"/>
              <w:jc w:val="left"/>
            </w:pPr>
            <w:r>
              <w:t xml:space="preserve">Nucleotide or amino acid</w:t>
            </w:r>
          </w:p>
        </w:tc>
      </w:tr>
      <w:tr>
        <w:tc>
          <w:tcPr/>
          <w:p>
            <w:pPr>
              <w:pStyle w:val="Compact"/>
              <w:jc w:val="left"/>
            </w:pPr>
            <w:r>
              <w:t xml:space="preserve">Gene Usage</w:t>
            </w:r>
          </w:p>
        </w:tc>
        <w:tc>
          <w:tcPr/>
          <w:p>
            <w:pPr>
              <w:pStyle w:val="Compact"/>
              <w:jc w:val="left"/>
            </w:pPr>
            <w:r>
              <w:t xml:space="preserve">v_gene_usage</w:t>
            </w:r>
          </w:p>
        </w:tc>
        <w:tc>
          <w:tcPr/>
          <w:p>
            <w:pPr>
              <w:pStyle w:val="Compact"/>
              <w:jc w:val="left"/>
            </w:pPr>
            <w:r>
              <w:t xml:space="preserve">Clone count and total copies per V gene</w:t>
            </w:r>
          </w:p>
        </w:tc>
        <w:tc>
          <w:tcPr/>
          <w:p>
            <w:pPr>
              <w:pStyle w:val="Compact"/>
              <w:jc w:val="left"/>
            </w:pPr>
            <w:r>
              <w:t xml:space="preserve">—</w:t>
            </w:r>
          </w:p>
        </w:tc>
      </w:tr>
    </w:tbl>
    <w:p>
      <w:pPr>
        <w:pStyle w:val="BodyText"/>
      </w:pPr>
      <w:r>
        <w:t xml:space="preserve">All endpoints accept metadata filters (disease_stage, tissue, sex, age) in the request body, enabling cross-stratified queries (e.g., mutation levels by disease stage and sex simultaneously).</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5"/>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5"/>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5"/>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6"/>
        </w:numPr>
        <w:pStyle w:val="Compact"/>
      </w:pPr>
      <w:r>
        <w:rPr>
          <w:iCs/>
          <w:i/>
        </w:rPr>
        <w:t xml:space="preserve">topX_mutation_level</w:t>
      </w:r>
      <w:r>
        <w:t xml:space="preserve">: Average mutation count across the top clones per individual.</w:t>
      </w:r>
    </w:p>
    <w:p>
      <w:pPr>
        <w:numPr>
          <w:ilvl w:val="0"/>
          <w:numId w:val="1006"/>
        </w:numPr>
        <w:pStyle w:val="Compact"/>
      </w:pPr>
      <w:r>
        <w:rPr>
          <w:iCs/>
          <w:i/>
        </w:rPr>
        <w:t xml:space="preserve">mutation_by_region</w:t>
      </w:r>
      <w:r>
        <w:t xml:space="preserve">: Mutation counts split by CDR versus framework regions.</w:t>
      </w:r>
    </w:p>
    <w:p>
      <w:pPr>
        <w:numPr>
          <w:ilvl w:val="0"/>
          <w:numId w:val="1006"/>
        </w:numPr>
        <w:pStyle w:val="Compact"/>
      </w:pPr>
      <w:r>
        <w:rPr>
          <w:iCs/>
          <w:i/>
        </w:rPr>
        <w:t xml:space="preserve">mutation_by_type</w:t>
      </w:r>
      <w:r>
        <w:t xml:space="preserve">: Replacement versus silent mutation counts.</w:t>
      </w:r>
    </w:p>
    <w:p>
      <w:pPr>
        <w:numPr>
          <w:ilvl w:val="0"/>
          <w:numId w:val="1006"/>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7"/>
        </w:numPr>
        <w:pStyle w:val="Compact"/>
      </w:pPr>
      <w:r>
        <w:rPr>
          <w:iCs/>
          <w:i/>
        </w:rPr>
        <w:t xml:space="preserve">topX_nt_AVG_CDR3_length</w:t>
      </w:r>
      <w:r>
        <w:t xml:space="preserve">: Average CDR3 nucleotide length for the top 10, 100, and 1000 clones per individual.</w:t>
      </w:r>
    </w:p>
    <w:p>
      <w:pPr>
        <w:numPr>
          <w:ilvl w:val="0"/>
          <w:numId w:val="1007"/>
        </w:numPr>
        <w:pStyle w:val="Compact"/>
      </w:pPr>
      <w:r>
        <w:rPr>
          <w:iCs/>
          <w:i/>
        </w:rPr>
        <w:t xml:space="preserve">topX_AA_AVG_CDR3_length</w:t>
      </w:r>
      <w:r>
        <w:t xml:space="preserve">: Average CDR3 amino acid length for the top 10, 100, and 1000 clones per individual.</w:t>
      </w:r>
    </w:p>
    <w:p>
      <w:pPr>
        <w:numPr>
          <w:ilvl w:val="0"/>
          <w:numId w:val="1007"/>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8"/>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09"/>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9"/>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9"/>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9"/>
        </w:numPr>
      </w:pPr>
      <w:r>
        <w:rPr>
          <w:bCs/>
          <w:b/>
        </w:rPr>
        <w:t xml:space="preserve">CDR3 length</w:t>
      </w:r>
      <w:r>
        <w:t xml:space="preserve">: Mean and standard deviation of CDR3 amino acid length across all clones per individual.</w:t>
      </w:r>
    </w:p>
    <w:p>
      <w:pPr>
        <w:numPr>
          <w:ilvl w:val="0"/>
          <w:numId w:val="1009"/>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0" w:name="results"/>
    <w:p>
      <w:pPr>
        <w:pStyle w:val="Heading1"/>
      </w:pP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9" w:name="metadata-overview"/>
    <w:p>
      <w:pPr>
        <w:pStyle w:val="Heading2"/>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2" name="Picture"/>
            <a:graphic>
              <a:graphicData uri="http://schemas.openxmlformats.org/drawingml/2006/picture">
                <pic:pic>
                  <pic:nvPicPr>
                    <pic:cNvPr descr="../immunedb_STATS_API/metadata/plots/06_sampling_depth.png" id="53" name="Picture"/>
                    <pic:cNvPicPr>
                      <a:picLocks noChangeArrowheads="1" noChangeAspect="1"/>
                    </pic:cNvPicPr>
                  </pic:nvPicPr>
                  <pic:blipFill>
                    <a:blip r:embed="rId51"/>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8" name="Picture"/>
            <a:graphic>
              <a:graphicData uri="http://schemas.openxmlformats.org/drawingml/2006/picture">
                <pic:pic>
                  <pic:nvPicPr>
                    <pic:cNvPr descr="../immunedb_STATS_API/metadata/plots/02_disease_stage_raw.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0"/>
        </w:numPr>
        <w:pStyle w:val="Compact"/>
      </w:pPr>
      <w:r>
        <w:t xml:space="preserve">Severe and Mild individuals span a wide age range (20-88 years), while Recovered and COVID Naive individuals tend to be younger (20-50 years).</w:t>
      </w:r>
    </w:p>
    <w:p>
      <w:pPr>
        <w:numPr>
          <w:ilvl w:val="0"/>
          <w:numId w:val="1010"/>
        </w:numPr>
        <w:pStyle w:val="Compact"/>
      </w:pPr>
      <w:r>
        <w:t xml:space="preserve">The Healthy group has a moderate age range (23-58 years).</w:t>
      </w:r>
    </w:p>
    <w:p>
      <w:pPr>
        <w:numPr>
          <w:ilvl w:val="0"/>
          <w:numId w:val="1010"/>
        </w:numPr>
        <w:pStyle w:val="Compact"/>
      </w:pPr>
      <w:r>
        <w:t xml:space="preserve">Sex data is missing for several individuals in CD3 (shown as X markers), limiting sex-stratified analyses in those disease categories.</w:t>
      </w:r>
    </w:p>
    <w:p>
      <w:pPr>
        <w:numPr>
          <w:ilvl w:val="0"/>
          <w:numId w:val="1010"/>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18-19).</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9"/>
    <w:bookmarkStart w:id="79" w:name="clonal-diversity-and-clone-count"/>
    <w:p>
      <w:pPr>
        <w:pStyle w:val="Heading2"/>
      </w:pPr>
      <w:r>
        <w:t xml:space="preserve">Clonal Diversity and Clone Count</w:t>
      </w:r>
    </w:p>
    <w:p>
      <w:pPr>
        <w:pStyle w:val="FirstParagraph"/>
      </w:pP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w:t>
      </w:r>
    </w:p>
    <w:p>
      <w:pPr>
        <w:pStyle w:val="BodyText"/>
      </w:pPr>
      <w:r>
        <w:t xml:space="preserve">To further assess clonal diversity, we computed Hill numbers of orders 0 (richness), 1 (Shannon), and 2 (Simpson) from the clone size distribution of each individual (</w:t>
      </w:r>
      <w:r>
        <w:rPr>
          <w:bCs/>
          <w:b/>
        </w:rPr>
        <w:t xml:space="preserve">Figure 2</w:t>
      </w:r>
      <w:r>
        <w:t xml:space="preserve">).</w:t>
      </w:r>
    </w:p>
    <w:p>
      <w:pPr>
        <w:pStyle w:val="CaptionedFigure"/>
      </w:pPr>
      <w:r>
        <w:drawing>
          <wp:inline>
            <wp:extent cx="5334000" cy="1845482"/>
            <wp:effectExtent b="0" l="0" r="0" t="0"/>
            <wp:docPr descr="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4" name="Picture"/>
            <a:graphic>
              <a:graphicData uri="http://schemas.openxmlformats.org/drawingml/2006/picture">
                <pic:pic>
                  <pic:nvPicPr>
                    <pic:cNvPr descr="../immunedb_STATS_API/clonal_analysis/plots/17_diversity_hill_numbers.png" id="75" name="Picture"/>
                    <pic:cNvPicPr>
                      <a:picLocks noChangeArrowheads="1" noChangeAspect="1"/>
                    </pic:cNvPicPr>
                  </pic:nvPicPr>
                  <pic:blipFill>
                    <a:blip r:embed="rId73"/>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3</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7" name="Picture"/>
            <a:graphic>
              <a:graphicData uri="http://schemas.openxmlformats.org/drawingml/2006/picture">
                <pic:pic>
                  <pic:nvPicPr>
                    <pic:cNvPr descr="../immunedb_STATS_API/clonal_analysis/plots/18_diversity_profiles.png" id="78" name="Picture"/>
                    <pic:cNvPicPr>
                      <a:picLocks noChangeArrowheads="1" noChangeAspect="1"/>
                    </pic:cNvPicPr>
                  </pic:nvPicPr>
                  <pic:blipFill>
                    <a:blip r:embed="rId76"/>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9"/>
    <w:bookmarkStart w:id="95" w:name="X3f5b631ded05b3dcd12510f37cac77f411a6406"/>
    <w:p>
      <w:pPr>
        <w:pStyle w:val="Heading2"/>
      </w:pPr>
      <w:r>
        <w:t xml:space="preserve">Expanded Clones and Clone Size Distribution</w:t>
      </w:r>
    </w:p>
    <w:p>
      <w:pPr>
        <w:pStyle w:val="FirstParagraph"/>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4</w:t>
      </w:r>
      <w:r>
        <w:t xml:space="preserve">).</w:t>
      </w:r>
    </w:p>
    <w:p>
      <w:pPr>
        <w:pStyle w:val="CaptionedFigure"/>
      </w:pPr>
      <w:r>
        <w:drawing>
          <wp:inline>
            <wp:extent cx="5334000" cy="3556000"/>
            <wp:effectExtent b="0" l="0" r="0" t="0"/>
            <wp:docPr descr="Figure 4. Expanded clone count by disease stage. Number of clones exceeding the expansion threshold (≥20 unique sequences) per individual, grouped by disease category. Each dot represents one individual; boxplots show median and IQR." title="" id="81" name="Picture"/>
            <a:graphic>
              <a:graphicData uri="http://schemas.openxmlformats.org/drawingml/2006/picture">
                <pic:pic>
                  <pic:nvPicPr>
                    <pic:cNvPr descr="../immunedb_STATS_API/clonal_analysis/plots/10_expanded_clones_by_disease.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Expanded clone count by disease stage. Number of clones exceeding the expansion threshold (≥20 unique sequences) per individual, grouped by disease category. Each dot represents one individual; boxplots show median and IQR.</w:t>
      </w:r>
    </w:p>
    <w:p>
      <w:pPr>
        <w:pStyle w:val="BodyText"/>
      </w:pPr>
      <w:r>
        <w:t xml:space="preserve">We also examined the number of expanded clones at three expansion thresholds: 20, 50, and 100 unique sequences per clone (</w:t>
      </w:r>
      <w:r>
        <w:rPr>
          <w:bCs/>
          <w:b/>
        </w:rPr>
        <w:t xml:space="preserve">Figure 5</w:t>
      </w:r>
      <w:r>
        <w:t xml:space="preserve">).</w:t>
      </w:r>
    </w:p>
    <w:p>
      <w:pPr>
        <w:pStyle w:val="CaptionedFigure"/>
      </w:pPr>
      <w:r>
        <w:drawing>
          <wp:inline>
            <wp:extent cx="5334000" cy="1757149"/>
            <wp:effectExtent b="0" l="0" r="0" t="0"/>
            <wp:docPr descr="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84" name="Picture"/>
            <a:graphic>
              <a:graphicData uri="http://schemas.openxmlformats.org/drawingml/2006/picture">
                <pic:pic>
                  <pic:nvPicPr>
                    <pic:cNvPr descr="../immunedb_STATS_API/clonal_analysis/plots/19_expanded_clones_threshold.png" id="85" name="Picture"/>
                    <pic:cNvPicPr>
                      <a:picLocks noChangeArrowheads="1" noChangeAspect="1"/>
                    </pic:cNvPicPr>
                  </pic:nvPicPr>
                  <pic:blipFill>
                    <a:blip r:embed="rId83"/>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6</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7" name="Picture"/>
            <a:graphic>
              <a:graphicData uri="http://schemas.openxmlformats.org/drawingml/2006/picture">
                <pic:pic>
                  <pic:nvPicPr>
                    <pic:cNvPr descr="../immunedb_STATS_API/clonal_analysis/plots/20_clone_size_distribution.png" id="88" name="Picture"/>
                    <pic:cNvPicPr>
                      <a:picLocks noChangeArrowheads="1" noChangeAspect="1"/>
                    </pic:cNvPicPr>
                  </pic:nvPicPr>
                  <pic:blipFill>
                    <a:blip r:embed="rId8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7</w:t>
      </w:r>
      <w:r>
        <w:t xml:space="preserve">).</w:t>
      </w:r>
    </w:p>
    <w:p>
      <w:pPr>
        <w:pStyle w:val="CaptionedFigure"/>
      </w:pPr>
      <w:r>
        <w:drawing>
          <wp:inline>
            <wp:extent cx="5334000" cy="3556000"/>
            <wp:effectExtent b="0" l="0" r="0" t="0"/>
            <wp:docPr descr="Figure 7. Mean size of expanded clones by disease stage. Each dot represents the mean number of unique sequences across expanded clones for one individual; boxplots show median and IQR. Reflects the magnitude of clonal expansion in each disease category." title="" id="90" name="Picture"/>
            <a:graphic>
              <a:graphicData uri="http://schemas.openxmlformats.org/drawingml/2006/picture">
                <pic:pic>
                  <pic:nvPicPr>
                    <pic:cNvPr descr="../immunedb_STATS_API/clonal_analysis/plots/11_expanded_clone_size_by_disease.png" id="91"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8</w:t>
      </w:r>
      <w:r>
        <w:t xml:space="preserve">), revealing the degree of oligoclonal dominance in each disease category.</w:t>
      </w:r>
    </w:p>
    <w:p>
      <w:pPr>
        <w:pStyle w:val="CaptionedFigure"/>
      </w:pPr>
      <w:r>
        <w:drawing>
          <wp:inline>
            <wp:extent cx="5334000" cy="2667000"/>
            <wp:effectExtent b="0" l="0" r="0" t="0"/>
            <wp:docPr descr="Figure 8. Clonal concentration: fraction of total sequence copies accounted for by the top 10, top 100, and top 1000 clones per individual, shown as stacked bars by disease stage. Higher values indicate greater oligoclonal dominance. Each bar represents one individual." title="" id="93" name="Picture"/>
            <a:graphic>
              <a:graphicData uri="http://schemas.openxmlformats.org/drawingml/2006/picture">
                <pic:pic>
                  <pic:nvPicPr>
                    <pic:cNvPr descr="../immunedb_STATS_API/clonal_analysis/plots/02_topX_stacked_by_disease.png" id="94" name="Picture"/>
                    <pic:cNvPicPr>
                      <a:picLocks noChangeArrowheads="1" noChangeAspect="1"/>
                    </pic:cNvPicPr>
                  </pic:nvPicPr>
                  <pic:blipFill>
                    <a:blip r:embed="rId9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 Clonal concentration: fraction of total sequence copies accounted for by the top 10, top 100, and top 1000 clones per individual, shown as stacked bars by disease stage. Higher values indicate greater oligoclonal dominance. Each bar represents one individual.</w:t>
      </w:r>
    </w:p>
    <w:bookmarkEnd w:id="95"/>
    <w:bookmarkStart w:id="105" w:name="cdr3-length-distribution"/>
    <w:p>
      <w:pPr>
        <w:pStyle w:val="Heading2"/>
      </w:pP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9</w:t>
      </w:r>
      <w:r>
        <w:t xml:space="preserve">), along with the range of CDR3 lengths (</w:t>
      </w:r>
      <w:r>
        <w:rPr>
          <w:bCs/>
          <w:b/>
        </w:rPr>
        <w:t xml:space="preserve">Figure 10</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9. Mean CDR3 amino acid length of the top 10 clones per individual, grouped by disease stage. Each dot represents one individual; boxplots show median and IQR. CDR3 length reflects the antigen-binding loop size of the most expanded clones." title="" id="97" name="Picture"/>
            <a:graphic>
              <a:graphicData uri="http://schemas.openxmlformats.org/drawingml/2006/picture">
                <pic:pic>
                  <pic:nvPicPr>
                    <pic:cNvPr descr="../immunedb_STATS_API/clonal_analysis/plots/03_cdr3_by_disease.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9.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0. CDR3 length range (max minus min amino acid length) of the top 10 clones per individual, grouped by disease stage. Larger ranges indicate greater CDR3 structural heterogeneity among the dominant clones." title="" id="100" name="Picture"/>
            <a:graphic>
              <a:graphicData uri="http://schemas.openxmlformats.org/drawingml/2006/picture">
                <pic:pic>
                  <pic:nvPicPr>
                    <pic:cNvPr descr="../immunedb_STATS_API/clonal_analysis/plots/04_cdr3_range_by_disease.png" id="101" name="Picture"/>
                    <pic:cNvPicPr>
                      <a:picLocks noChangeArrowheads="1" noChangeAspect="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11</w:t>
      </w:r>
      <w:r>
        <w:t xml:space="preserve">).</w:t>
      </w:r>
    </w:p>
    <w:p>
      <w:pPr>
        <w:pStyle w:val="CaptionedFigure"/>
      </w:pPr>
      <w:r>
        <w:drawing>
          <wp:inline>
            <wp:extent cx="5334000" cy="2310924"/>
            <wp:effectExtent b="0" l="0" r="0" t="0"/>
            <wp:docPr descr="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3" name="Picture"/>
            <a:graphic>
              <a:graphicData uri="http://schemas.openxmlformats.org/drawingml/2006/picture">
                <pic:pic>
                  <pic:nvPicPr>
                    <pic:cNvPr descr="../immunedb_STATS_API/clonal_analysis/plots/22_cdr3_length_distribution.png" id="104" name="Picture"/>
                    <pic:cNvPicPr>
                      <a:picLocks noChangeArrowheads="1" noChangeAspect="1"/>
                    </pic:cNvPicPr>
                  </pic:nvPicPr>
                  <pic:blipFill>
                    <a:blip r:embed="rId102"/>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5"/>
    <w:bookmarkStart w:id="121" w:name="X49d236bff8b73f1dfab7cee423a5ced9dfdfe20"/>
    <w:p>
      <w:pPr>
        <w:pStyle w:val="Heading2"/>
      </w:pP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12</w:t>
      </w:r>
      <w:r>
        <w:t xml:space="preserve">), while the mutation gradient across clone size ranks (top 10 vs. remaining top 100 vs. remaining top 1000) revealed how mutation accumulation varies with clonal expansion (</w:t>
      </w:r>
      <w:r>
        <w:rPr>
          <w:bCs/>
          <w:b/>
        </w:rPr>
        <w:t xml:space="preserve">Figure 13</w:t>
      </w:r>
      <w:r>
        <w:t xml:space="preserve">). Region-specific queries separated CDR from framework mutations (</w:t>
      </w:r>
      <w:r>
        <w:rPr>
          <w:bCs/>
          <w:b/>
        </w:rPr>
        <w:t xml:space="preserve">Figure 14</w:t>
      </w:r>
      <w:r>
        <w:t xml:space="preserve">), and the NS/S ratio endpoint provided an overview of selection pressure across disease categories (</w:t>
      </w:r>
      <w:r>
        <w:rPr>
          <w:bCs/>
          <w:b/>
        </w:rPr>
        <w:t xml:space="preserve">Figure 15</w:t>
      </w:r>
      <w:r>
        <w:t xml:space="preserve">).</w:t>
      </w:r>
    </w:p>
    <w:p>
      <w:pPr>
        <w:pStyle w:val="CaptionedFigure"/>
      </w:pPr>
      <w:r>
        <w:drawing>
          <wp:inline>
            <wp:extent cx="5334000" cy="3048000"/>
            <wp:effectExtent b="0" l="0" r="0" t="0"/>
            <wp:docPr descr="Figure 12. Total somatic hypermutation level in the top 10 clones per individual, grouped by disease stage. Each dot represents one individual; boxplots show median and IQR. Higher values indicate greater mutation accumulation." title="" id="107" name="Picture"/>
            <a:graphic>
              <a:graphicData uri="http://schemas.openxmlformats.org/drawingml/2006/picture">
                <pic:pic>
                  <pic:nvPicPr>
                    <pic:cNvPr descr="../immunedb_STATS_API/clonal_analysis/plots/05_mutation_by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3. Mutation gradient across clone size ranks by disease stage. Shows average mutation counts for the top 10, remaining top 100, and remaining top 1000 clones, revealing how mutation accumulation varies with clonal expansion rank." title="" id="110" name="Picture"/>
            <a:graphic>
              <a:graphicData uri="http://schemas.openxmlformats.org/drawingml/2006/picture">
                <pic:pic>
                  <pic:nvPicPr>
                    <pic:cNvPr descr="../immunedb_STATS_API/clonal_analysis/plots/06_mutation_gradient_by_diseas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4. CDR and FW region-specific mutation counts by disease stage. Mutations are separated into CDR and FW regions, distinguishing antigen-contact mutations from structural mutations." title="" id="113" name="Picture"/>
            <a:graphic>
              <a:graphicData uri="http://schemas.openxmlformats.org/drawingml/2006/picture">
                <pic:pic>
                  <pic:nvPicPr>
                    <pic:cNvPr descr="../immunedb_STATS_API/clonal_analysis/plots/07_cdr_mutations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5. NS/S ratio overview by disease stage. Non-synonymous to synonymous mutation ratio for all clones per individual. Values above 1.0 indicate positive (diversifying) selection; values below 1.0 indicate purifying selection. Each dot represents one individual." title="" id="116" name="Picture"/>
            <a:graphic>
              <a:graphicData uri="http://schemas.openxmlformats.org/drawingml/2006/picture">
                <pic:pic>
                  <pic:nvPicPr>
                    <pic:cNvPr descr="../immunedb_STATS_API/clonal_analysis/plots/08_rs_ratio_by_disease.png" id="117" name="Picture"/>
                    <pic:cNvPicPr>
                      <a:picLocks noChangeArrowheads="1" noChangeAspect="1"/>
                    </pic:cNvPicPr>
                  </pic:nvPicPr>
                  <pic:blipFill>
                    <a:blip r:embed="rId11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16</w:t>
      </w:r>
      <w:r>
        <w:t xml:space="preserve">).</w:t>
      </w:r>
    </w:p>
    <w:p>
      <w:pPr>
        <w:pStyle w:val="CaptionedFigure"/>
      </w:pPr>
      <w:r>
        <w:drawing>
          <wp:inline>
            <wp:extent cx="5334000" cy="1845894"/>
            <wp:effectExtent b="0" l="0" r="0" t="0"/>
            <wp:docPr descr="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9" name="Picture"/>
            <a:graphic>
              <a:graphicData uri="http://schemas.openxmlformats.org/drawingml/2006/picture">
                <pic:pic>
                  <pic:nvPicPr>
                    <pic:cNvPr descr="../immunedb_STATS_API/clonal_analysis/plots/21_mutations_rs_ratio.png" id="120" name="Picture"/>
                    <pic:cNvPicPr>
                      <a:picLocks noChangeArrowheads="1" noChangeAspect="1"/>
                    </pic:cNvPicPr>
                  </pic:nvPicPr>
                  <pic:blipFill>
                    <a:blip r:embed="rId118"/>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1"/>
    <w:bookmarkStart w:id="125" w:name="v-gene-usage"/>
    <w:p>
      <w:pPr>
        <w:pStyle w:val="Heading2"/>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17</w:t>
      </w:r>
      <w:r>
        <w:t xml:space="preserve">).</w:t>
      </w:r>
    </w:p>
    <w:p>
      <w:pPr>
        <w:pStyle w:val="CaptionedFigure"/>
      </w:pPr>
      <w:r>
        <w:drawing>
          <wp:inline>
            <wp:extent cx="5334000" cy="2762409"/>
            <wp:effectExtent b="0" l="0" r="0" t="0"/>
            <wp:docPr descr="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3" name="Picture"/>
            <a:graphic>
              <a:graphicData uri="http://schemas.openxmlformats.org/drawingml/2006/picture">
                <pic:pic>
                  <pic:nvPicPr>
                    <pic:cNvPr descr="../immunedb_STATS_API/clonal_analysis/plots/23_v_gene_usage_heatmap.png" id="124" name="Picture"/>
                    <pic:cNvPicPr>
                      <a:picLocks noChangeArrowheads="1" noChangeAspect="1"/>
                    </pic:cNvPicPr>
                  </pic:nvPicPr>
                  <pic:blipFill>
                    <a:blip r:embed="rId122"/>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5"/>
    <w:bookmarkStart w:id="132" w:name="age-and-gender-as-potential-confounders"/>
    <w:p>
      <w:pPr>
        <w:pStyle w:val="Heading2"/>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7" name="Picture"/>
            <a:graphic>
              <a:graphicData uri="http://schemas.openxmlformats.org/drawingml/2006/picture">
                <pic:pic>
                  <pic:nvPicPr>
                    <pic:cNvPr descr="../immunedb_STATS_API/clonal_analysis/plots/24_metrics_vs_age.png" id="128" name="Picture"/>
                    <pic:cNvPicPr>
                      <a:picLocks noChangeArrowheads="1" noChangeAspect="1"/>
                    </pic:cNvPicPr>
                  </pic:nvPicPr>
                  <pic:blipFill>
                    <a:blip r:embed="rId126"/>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18</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9. Clonal metrics by gender and disease stage. Panel A: clone count (log scale). Panel B: mean CDR3 length. Panel C: CDR NS/S ratio. Boxplots compare male and female individuals within each disease category." title="" id="130" name="Picture"/>
            <a:graphic>
              <a:graphicData uri="http://schemas.openxmlformats.org/drawingml/2006/picture">
                <pic:pic>
                  <pic:nvPicPr>
                    <pic:cNvPr descr="../immunedb_STATS_API/clonal_analysis/plots/25_metrics_vs_gender.png" id="131" name="Picture"/>
                    <pic:cNvPicPr>
                      <a:picLocks noChangeArrowheads="1" noChangeAspect="1"/>
                    </pic:cNvPicPr>
                  </pic:nvPicPr>
                  <pic:blipFill>
                    <a:blip r:embed="rId129"/>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19.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19</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2"/>
    <w:bookmarkStart w:id="139" w:name="sex-stratified-analysis"/>
    <w:p>
      <w:pPr>
        <w:pStyle w:val="Heading2"/>
      </w:pP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20</w:t>
      </w:r>
      <w:r>
        <w:t xml:space="preserve">) and CDR3 lengths (</w:t>
      </w:r>
      <w:r>
        <w:rPr>
          <w:bCs/>
          <w:b/>
        </w:rPr>
        <w:t xml:space="preserve">Figure 21</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0. Mutation level in top 10 clones stratified by sex and disease stage. Male and female individuals compared within each disease category. Demonstrates IS-API’s ability to perform intersectional queries across multiple metadata dimensions in a single API call." title="" id="134" name="Picture"/>
            <a:graphic>
              <a:graphicData uri="http://schemas.openxmlformats.org/drawingml/2006/picture">
                <pic:pic>
                  <pic:nvPicPr>
                    <pic:cNvPr descr="../immunedb_STATS_API/clonal_analysis/plots/12_mutation_top10_by_sex_disease.png" id="135" name="Picture"/>
                    <pic:cNvPicPr>
                      <a:picLocks noChangeArrowheads="1" noChangeAspect="1"/>
                    </pic:cNvPicPr>
                  </pic:nvPicPr>
                  <pic:blipFill>
                    <a:blip r:embed="rId1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1. CDR3 length in top 10 clones stratified by sex and disease stage. Mean CDR3 amino acid length of the top 10 clones per individual, grouped by sex within each disease category." title="" id="137" name="Picture"/>
            <a:graphic>
              <a:graphicData uri="http://schemas.openxmlformats.org/drawingml/2006/picture">
                <pic:pic>
                  <pic:nvPicPr>
                    <pic:cNvPr descr="../immunedb_STATS_API/clonal_analysis/plots/13_cdr3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CDR3 length in top 10 clones stratified by sex and disease stage. Mean CDR3 amino acid length of the top 10 clones per individual, grouped by sex within each disease category.</w:t>
      </w:r>
    </w:p>
    <w:bookmarkEnd w:id="139"/>
    <w:bookmarkStart w:id="149" w:name="within-individual-cross-tissue-analysis"/>
    <w:p>
      <w:pPr>
        <w:pStyle w:val="Heading2"/>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22</w:t>
      </w:r>
      <w:r>
        <w:t xml:space="preserve">), clone sizes (</w:t>
      </w:r>
      <w:r>
        <w:rPr>
          <w:bCs/>
          <w:b/>
        </w:rPr>
        <w:t xml:space="preserve">Figure 23</w:t>
      </w:r>
      <w:r>
        <w:t xml:space="preserve">), and paired tissue measurements (</w:t>
      </w:r>
      <w:r>
        <w:rPr>
          <w:bCs/>
          <w:b/>
        </w:rPr>
        <w:t xml:space="preserve">Figure 24</w:t>
      </w:r>
      <w:r>
        <w:t xml:space="preserve">) within the same individual.</w:t>
      </w:r>
    </w:p>
    <w:p>
      <w:pPr>
        <w:pStyle w:val="CaptionedFigure"/>
      </w:pPr>
      <w:r>
        <w:drawing>
          <wp:inline>
            <wp:extent cx="5334000" cy="3306593"/>
            <wp:effectExtent b="0" l="0" r="0" t="0"/>
            <wp:docPr descr="Figure 22. Within-individual clone count across tissues. For individuals with samples from multiple tissues (e.g., blood and bone marrow in HC1, blood and lung in CD1), clone counts are compared across tissue types within the same individual." title="" id="141" name="Picture"/>
            <a:graphic>
              <a:graphicData uri="http://schemas.openxmlformats.org/drawingml/2006/picture">
                <pic:pic>
                  <pic:nvPicPr>
                    <pic:cNvPr descr="../immunedb_STATS_API/clonal_analysis/plots/14_within_subject_clone_count.png" id="142" name="Picture"/>
                    <pic:cNvPicPr>
                      <a:picLocks noChangeArrowheads="1" noChangeAspect="1"/>
                    </pic:cNvPicPr>
                  </pic:nvPicPr>
                  <pic:blipFill>
                    <a:blip r:embed="rId14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22.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3. Within-individual clone size across tissues. Clone size distributions compared between different tissue types within the same individual across studies." title="" id="144" name="Picture"/>
            <a:graphic>
              <a:graphicData uri="http://schemas.openxmlformats.org/drawingml/2006/picture">
                <pic:pic>
                  <pic:nvPicPr>
                    <pic:cNvPr descr="../immunedb_STATS_API/clonal_analysis/plots/15_within_subject_clone_size_cross_study.png" id="145" name="Picture"/>
                    <pic:cNvPicPr>
                      <a:picLocks noChangeArrowheads="1" noChangeAspect="1"/>
                    </pic:cNvPicPr>
                  </pic:nvPicPr>
                  <pic:blipFill>
                    <a:blip r:embed="rId14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23.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4. Within-individual tissue comparison using paired line plots. Lines connect measurements from different tissues within the same individual, illustrating tissue-specific repertoire differences. Each line represents one individual sampled from multiple tissues." title="" id="147" name="Picture"/>
            <a:graphic>
              <a:graphicData uri="http://schemas.openxmlformats.org/drawingml/2006/picture">
                <pic:pic>
                  <pic:nvPicPr>
                    <pic:cNvPr descr="../immunedb_STATS_API/clonal_analysis/plots/16_within_subject_tissue_lines.png" id="148" name="Picture"/>
                    <pic:cNvPicPr>
                      <a:picLocks noChangeArrowheads="1" noChangeAspect="1"/>
                    </pic:cNvPicPr>
                  </pic:nvPicPr>
                  <pic:blipFill>
                    <a:blip r:embed="rId1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24.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9"/>
    <w:bookmarkEnd w:id="150"/>
    <w:bookmarkStart w:id="155" w:name="discussion-and-conclusions"/>
    <w:p>
      <w:pPr>
        <w:pStyle w:val="Heading1"/>
      </w:pPr>
      <w:r>
        <w:t xml:space="preserve">Discussion and Conclusions</w:t>
      </w:r>
    </w:p>
    <w:bookmarkStart w:id="151"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1"/>
    <w:bookmarkStart w:id="152"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2"/>
    <w:bookmarkStart w:id="153"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3"/>
    <w:bookmarkStart w:id="154"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4"/>
    <w:bookmarkEnd w:id="155"/>
    <w:bookmarkStart w:id="156" w:name="references"/>
    <w:p>
      <w:pPr>
        <w:pStyle w:val="Heading1"/>
      </w:pPr>
      <w:r>
        <w:t xml:space="preserve">References</w:t>
      </w:r>
    </w:p>
    <w:p>
      <w:pPr>
        <w:numPr>
          <w:ilvl w:val="0"/>
          <w:numId w:val="1011"/>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1"/>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1"/>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1"/>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1"/>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1"/>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1"/>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1"/>
        </w:numPr>
      </w:pPr>
      <w:r>
        <w:t xml:space="preserve">Victora, G. D., &amp; Nussenzweig, M. C. (2012). Germinal centers.</w:t>
      </w:r>
      <w:r>
        <w:t xml:space="preserve"> </w:t>
      </w:r>
      <w:r>
        <w:rPr>
          <w:iCs/>
          <w:i/>
        </w:rPr>
        <w:t xml:space="preserve">Annual Review of Immunology</w:t>
      </w:r>
      <w:r>
        <w:t xml:space="preserve">, 30, 429-457.</w:t>
      </w:r>
    </w:p>
    <w:p>
      <w:pPr>
        <w:numPr>
          <w:ilvl w:val="0"/>
          <w:numId w:val="1011"/>
        </w:numPr>
      </w:pPr>
      <w:r>
        <w:t xml:space="preserve">Kim, D., &amp; Park, D. (2019). Deep sequencing of B cell receptor repertoire.</w:t>
      </w:r>
      <w:r>
        <w:t xml:space="preserve"> </w:t>
      </w:r>
      <w:r>
        <w:rPr>
          <w:iCs/>
          <w:i/>
        </w:rPr>
        <w:t xml:space="preserve">BMB Reports</w:t>
      </w:r>
      <w:r>
        <w:t xml:space="preserve">, 52(9), 540-547.</w:t>
      </w:r>
    </w:p>
    <w:p>
      <w:pPr>
        <w:numPr>
          <w:ilvl w:val="0"/>
          <w:numId w:val="1011"/>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1"/>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1"/>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1"/>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1"/>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1"/>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1"/>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1"/>
        </w:numPr>
      </w:pPr>
      <w:r>
        <w:t xml:space="preserve">iReceptor Gateway. https://gateway.ireceptor.org</w:t>
      </w:r>
    </w:p>
    <w:p>
      <w:pPr>
        <w:numPr>
          <w:ilvl w:val="0"/>
          <w:numId w:val="1011"/>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1"/>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1"/>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1"/>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1"/>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1"/>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1"/>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1"/>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1"/>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1"/>
        </w:numPr>
      </w:pPr>
      <w:r>
        <w:t xml:space="preserve">Lambert, M., Surhone, L., Tennoe, M. T., &amp; Henssonow, S. F. (2010).</w:t>
      </w:r>
      <w:r>
        <w:t xml:space="preserve"> </w:t>
      </w:r>
      <w:r>
        <w:rPr>
          <w:iCs/>
          <w:i/>
        </w:rPr>
        <w:t xml:space="preserve">Node.js</w:t>
      </w:r>
      <w:r>
        <w:t xml:space="preserve">. Betascript Publishing.</w:t>
      </w:r>
    </w:p>
    <w:p>
      <w:pPr>
        <w:numPr>
          <w:ilvl w:val="0"/>
          <w:numId w:val="1011"/>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1"/>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1"/>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1"/>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1"/>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1"/>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1"/>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1"/>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1"/>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1"/>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1"/>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1"/>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1"/>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1"/>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1"/>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1"/>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1"/>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1"/>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1"/>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1"/>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1"/>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2026-09-03T04:12:56Z</dcterms:created>
  <dcterms:modified xsi:type="dcterms:W3CDTF">2026-09-03T04:12:56Z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