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versus fixed parameters.</w:t>
      </w:r>
      <w:r>
        <w:t xml:space="preserve"> </w:t>
      </w:r>
      <w:r>
        <w:t xml:space="preserve">Some API parameters are configurable per request, while others are fixed in the current version. The following are</w:t>
      </w:r>
      <w:r>
        <w:t xml:space="preserve"> </w:t>
      </w:r>
      <w:r>
        <w:rPr>
          <w:bCs/>
          <w:b/>
        </w:rPr>
        <w:t xml:space="preserve">configurable</w:t>
      </w:r>
      <w:r>
        <w:t xml:space="preserv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clone-size-stratified endpoints (</w:t>
      </w:r>
      <w:r>
        <w:rPr>
          <w:iCs/>
          <w:i/>
        </w:rPr>
        <w:t xml:space="preserve">cdr3_by_clone_size</w:t>
      </w:r>
      <w:r>
        <w:t xml:space="preserve">,</w:t>
      </w:r>
      <w:r>
        <w:t xml:space="preserve"> </w:t>
      </w:r>
      <w:r>
        <w:rPr>
          <w:iCs/>
          <w:i/>
        </w:rPr>
        <w:t xml:space="preserve">mutation_rs_by_clone_size</w:t>
      </w:r>
      <w:r>
        <w:t xml:space="preserve">) accept a</w:t>
      </w:r>
      <w:r>
        <w:t xml:space="preserve"> </w:t>
      </w:r>
      <w:r>
        <w:rPr>
          <w:rStyle w:val="VerbatimChar"/>
        </w:rPr>
        <w:t xml:space="preserve">min_clone_size</w:t>
      </w:r>
      <w:r>
        <w:t xml:space="preserve"> </w:t>
      </w:r>
      <w:r>
        <w:t xml:space="preserve">parameter (default: 20) to set the expansion threshold to any value, and a</w:t>
      </w:r>
      <w:r>
        <w:t xml:space="preserve"> </w:t>
      </w:r>
      <w:r>
        <w:rPr>
          <w:rStyle w:val="VerbatimChar"/>
        </w:rPr>
        <w:t xml:space="preserve">min_expanded_clones</w:t>
      </w:r>
      <w:r>
        <w:t xml:space="preserve"> </w:t>
      </w:r>
      <w:r>
        <w:t xml:space="preserve">parameter to filter out individuals with too few expanded clones; (3)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The following are</w:t>
      </w:r>
      <w:r>
        <w:t xml:space="preserve"> </w:t>
      </w:r>
      <w:r>
        <w:rPr>
          <w:bCs/>
          <w:b/>
        </w:rPr>
        <w:t xml:space="preserve">fixed</w:t>
      </w:r>
      <w:r>
        <w:t xml:space="preserve"> </w:t>
      </w:r>
      <w:r>
        <w:t xml:space="preserve">in v0.3.0: (1) the Top X ranks (10, 100, 1000) in the</w:t>
      </w:r>
      <w:r>
        <w:t xml:space="preserve"> </w:t>
      </w:r>
      <w:r>
        <w:rPr>
          <w:iCs/>
          <w:i/>
        </w:rPr>
        <w:t xml:space="preserve">topX</w:t>
      </w:r>
      <w:r>
        <w:t xml:space="preserve"> </w:t>
      </w:r>
      <w:r>
        <w:t xml:space="preserve">endpoints are fixed in the SQL queries — the API always returns statistics for these three tiers simultaneously; (2) the expansion threshold in</w:t>
      </w:r>
      <w:r>
        <w:t xml:space="preserve"> </w:t>
      </w:r>
      <w:r>
        <w:rPr>
          <w:iCs/>
          <w:i/>
        </w:rPr>
        <w:t xml:space="preserve">clone_count</w:t>
      </w:r>
      <w:r>
        <w:t xml:space="preserve"> </w:t>
      </w:r>
      <w:r>
        <w:t xml:space="preserve">is fixed at ≥20 unique sequences; (3) CDR and FW region boundaries follow the ImmuneDB database schema, where CDR is defined as the sum of CDR1, CDR2, and CDR3 regions, and FW is defined as FW1 + FW2 + FW3 + FW4 —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 Making these fixed parameters configurable (e.g., user-defined Top X ranks or adjustable clone_count thresholds) is a planned enhancement for future API versions.</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For the COVID-19 clonal analysis, we computed the following measures per individual (blood samples only):</w:t>
      </w:r>
    </w:p>
    <w:p>
      <w:pPr>
        <w:numPr>
          <w:ilvl w:val="0"/>
          <w:numId w:val="1004"/>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4"/>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4"/>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4"/>
        </w:numPr>
      </w:pPr>
      <w:r>
        <w:rPr>
          <w:bCs/>
          <w:b/>
        </w:rPr>
        <w:t xml:space="preserve">CDR3 length</w:t>
      </w:r>
      <w:r>
        <w:t xml:space="preserve">: Mean and standard deviation of CDR3 amino acid length across all clones per individual.</w:t>
      </w:r>
    </w:p>
    <w:p>
      <w:pPr>
        <w:numPr>
          <w:ilvl w:val="0"/>
          <w:numId w:val="1004"/>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5"/>
        </w:numPr>
        <w:pStyle w:val="Compact"/>
      </w:pPr>
      <w:r>
        <w:t xml:space="preserve">Severe and Mild individuals span a wide age range (20-88 years), while Recovered and COVID Naive individuals tend to be younger (20-50 years).</w:t>
      </w:r>
    </w:p>
    <w:p>
      <w:pPr>
        <w:numPr>
          <w:ilvl w:val="0"/>
          <w:numId w:val="1005"/>
        </w:numPr>
        <w:pStyle w:val="Compact"/>
      </w:pPr>
      <w:r>
        <w:t xml:space="preserve">The Healthy group has a moderate age range (23-58 years).</w:t>
      </w:r>
    </w:p>
    <w:p>
      <w:pPr>
        <w:numPr>
          <w:ilvl w:val="0"/>
          <w:numId w:val="1005"/>
        </w:numPr>
        <w:pStyle w:val="Compact"/>
      </w:pPr>
      <w:r>
        <w:t xml:space="preserve">Sex data is missing for several individuals in CD3 (shown as X markers), limiting sex-stratified analyses in those disease categories.</w:t>
      </w:r>
    </w:p>
    <w:p>
      <w:pPr>
        <w:numPr>
          <w:ilvl w:val="0"/>
          <w:numId w:val="1005"/>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19-20).</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6"/>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6"/>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6"/>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6"/>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6"/>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6"/>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6"/>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6"/>
        </w:numPr>
      </w:pPr>
      <w:r>
        <w:t xml:space="preserve">Victora, G. D., &amp; Nussenzweig, M. C. (2012). Germinal centers.</w:t>
      </w:r>
      <w:r>
        <w:t xml:space="preserve"> </w:t>
      </w:r>
      <w:r>
        <w:rPr>
          <w:iCs/>
          <w:i/>
        </w:rPr>
        <w:t xml:space="preserve">Annual Review of Immunology</w:t>
      </w:r>
      <w:r>
        <w:t xml:space="preserve">, 30, 429-457.</w:t>
      </w:r>
    </w:p>
    <w:p>
      <w:pPr>
        <w:numPr>
          <w:ilvl w:val="0"/>
          <w:numId w:val="1006"/>
        </w:numPr>
      </w:pPr>
      <w:r>
        <w:t xml:space="preserve">Kim, D., &amp; Park, D. (2019). Deep sequencing of B cell receptor repertoire.</w:t>
      </w:r>
      <w:r>
        <w:t xml:space="preserve"> </w:t>
      </w:r>
      <w:r>
        <w:rPr>
          <w:iCs/>
          <w:i/>
        </w:rPr>
        <w:t xml:space="preserve">BMB Reports</w:t>
      </w:r>
      <w:r>
        <w:t xml:space="preserve">, 52(9), 540-547.</w:t>
      </w:r>
    </w:p>
    <w:p>
      <w:pPr>
        <w:numPr>
          <w:ilvl w:val="0"/>
          <w:numId w:val="1006"/>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6"/>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6"/>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6"/>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6"/>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6"/>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6"/>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6"/>
        </w:numPr>
      </w:pPr>
      <w:r>
        <w:t xml:space="preserve">iReceptor Gateway. https://gateway.ireceptor.org</w:t>
      </w:r>
    </w:p>
    <w:p>
      <w:pPr>
        <w:numPr>
          <w:ilvl w:val="0"/>
          <w:numId w:val="1006"/>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6"/>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6"/>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6"/>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6"/>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6"/>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6"/>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6"/>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6"/>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6"/>
        </w:numPr>
      </w:pPr>
      <w:r>
        <w:t xml:space="preserve">Lambert, M., Surhone, L., Tennoe, M. T., &amp; Henssonow, S. F. (2010).</w:t>
      </w:r>
      <w:r>
        <w:t xml:space="preserve"> </w:t>
      </w:r>
      <w:r>
        <w:rPr>
          <w:iCs/>
          <w:i/>
        </w:rPr>
        <w:t xml:space="preserve">Node.js</w:t>
      </w:r>
      <w:r>
        <w:t xml:space="preserve">. Betascript Publishing.</w:t>
      </w:r>
    </w:p>
    <w:p>
      <w:pPr>
        <w:numPr>
          <w:ilvl w:val="0"/>
          <w:numId w:val="1006"/>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6"/>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6"/>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6"/>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6"/>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6"/>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6"/>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6"/>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6"/>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6"/>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6"/>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6"/>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6"/>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6"/>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6"/>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6"/>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6"/>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6"/>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6"/>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6"/>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6"/>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6"/>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2026-09-05T07:54:01Z</dcterms:created>
  <dcterms:modified xsi:type="dcterms:W3CDTF">2026-09-05T07:54:01Z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