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91.png" ContentType="image/png"/>
  <Override PartName="/word/media/rId102.png" ContentType="image/png"/>
  <Override PartName="/word/media/rId105.png" ContentType="image/png"/>
  <Override PartName="/word/media/rId112.png" ContentType="image/png"/>
  <Override PartName="/word/media/rId115.png" ContentType="image/png"/>
  <Override PartName="/word/media/rId118.png" ContentType="image/png"/>
  <Override PartName="/word/media/rId121.png" ContentType="image/png"/>
  <Override PartName="/word/media/rId95.png" ContentType="image/png"/>
  <Override PartName="/word/media/rId79.png" ContentType="image/png"/>
  <Override PartName="/word/media/rId98.png" ContentType="image/png"/>
  <Override PartName="/word/media/rId88.png" ContentType="image/png"/>
  <Override PartName="/word/media/rId139.png" ContentType="image/png"/>
  <Override PartName="/word/media/rId142.png" ContentType="image/png"/>
  <Override PartName="/word/media/rId146.png" ContentType="image/png"/>
  <Override PartName="/word/media/rId149.png" ContentType="image/png"/>
  <Override PartName="/word/media/rId152.png" ContentType="image/png"/>
  <Override PartName="/word/media/rId72.png" ContentType="image/png"/>
  <Override PartName="/word/media/rId75.png" ContentType="image/png"/>
  <Override PartName="/word/media/rId82.png" ContentType="image/png"/>
  <Override PartName="/word/media/rId85.png" ContentType="image/png"/>
  <Override PartName="/word/media/rId124.png" ContentType="image/png"/>
  <Override PartName="/word/media/rId108.png" ContentType="image/png"/>
  <Override PartName="/word/media/rId128.png" ContentType="image/png"/>
  <Override PartName="/word/media/rId132.png" ContentType="image/png"/>
  <Override PartName="/word/media/rId135.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Clone count distribution by disease stage. Each dot represents one individual; boxplots show median and interquartile range. Clone count is defined as the number of distinct clones with 20 or more unique sequences per individual. Blood-derived samples only. Disease categories ordered: Severe, Moderate, Mild, Recovered, COVID Naive, Healthy.</w:t>
      </w:r>
    </w:p>
    <w:p>
      <w:pPr>
        <w:pStyle w:val="BodyText"/>
      </w:pPr>
      <w:r>
        <w:rPr>
          <w:bCs/>
          <w:b/>
        </w:rPr>
        <w:t xml:space="preserve">Figure 2.</w:t>
      </w:r>
      <w:r>
        <w:t xml:space="preserve"> </w:t>
      </w:r>
      <w:r>
        <w:t xml:space="preserve">Clonal diversity across disease stages measured by Hill numbers of orders 0 (richness), 1 (Shannon entropy), and 2 (Simpson). Each dot is one individual; boxplots show median and IQR. Kruskal-Wallis p-values and pairwise Mann-Whitney U comparisons with Bonferroni correction are annotated. Higher values indicate greater diversity.</w:t>
      </w:r>
    </w:p>
    <w:p>
      <w:pPr>
        <w:pStyle w:val="BodyText"/>
      </w:pPr>
      <w:r>
        <w:rPr>
          <w:bCs/>
          <w:b/>
        </w:rPr>
        <w:t xml:space="preserve">Figure 3.</w:t>
      </w:r>
      <w:r>
        <w:t xml:space="preserve"> </w:t>
      </w:r>
      <w:r>
        <w:t xml:space="preserve">Diversity profiles by disease stage. Each thin line represents one individual’s Hill number profile (Order 0 to Order 2); thick lines show group medians. A steep drop from Order 0 to Order 2 indicates dominance by a few large clones; a gradual decline indicates a more even clone size distribution.</w:t>
      </w:r>
    </w:p>
    <w:p>
      <w:pPr>
        <w:pStyle w:val="BodyText"/>
      </w:pPr>
      <w:r>
        <w:rPr>
          <w:bCs/>
          <w:b/>
        </w:rPr>
        <w:t xml:space="preserve">Figure 4.</w:t>
      </w:r>
      <w:r>
        <w:t xml:space="preserve"> </w:t>
      </w:r>
      <w:r>
        <w:t xml:space="preserve">Expanded clone count by disease stage. Number of clones exceeding the expansion threshold (≥20 unique sequences) per individual, grouped by disease category. Each dot represents one individual.</w:t>
      </w:r>
    </w:p>
    <w:p>
      <w:pPr>
        <w:pStyle w:val="BodyText"/>
      </w:pPr>
      <w:r>
        <w:rPr>
          <w:bCs/>
          <w:b/>
        </w:rPr>
        <w:t xml:space="preserve">Figure 5.</w:t>
      </w:r>
      <w:r>
        <w:t xml:space="preserve"> </w:t>
      </w:r>
      <w:r>
        <w:t xml:space="preserve">Number of expanded clones at three expansion thresholds (&gt;20, &gt;50, &gt;100 unique sequences) by disease stage. Each panel shows one threshold. At higher thresholds, differences between disease groups become more pronounced.</w:t>
      </w:r>
    </w:p>
    <w:p>
      <w:pPr>
        <w:pStyle w:val="BodyText"/>
      </w:pPr>
      <w:r>
        <w:rPr>
          <w:bCs/>
          <w:b/>
        </w:rPr>
        <w:t xml:space="preserve">Figure 6.</w:t>
      </w:r>
      <w:r>
        <w:t xml:space="preserve"> </w:t>
      </w:r>
      <w:r>
        <w:t xml:space="preserve">Clone size distribution by disease stage showing two views. Panel A: violin plots with overlaid boxplots of all individual clone sizes (log-transformed). Panel B: median clone size per individual by disease category. Kruskal-Wallis p-value annotated.</w:t>
      </w:r>
    </w:p>
    <w:p>
      <w:pPr>
        <w:pStyle w:val="BodyText"/>
      </w:pPr>
      <w:r>
        <w:rPr>
          <w:bCs/>
          <w:b/>
        </w:rPr>
        <w:t xml:space="preserve">Figure 7.</w:t>
      </w:r>
      <w:r>
        <w:t xml:space="preserve"> </w:t>
      </w:r>
      <w:r>
        <w:t xml:space="preserve">Expanded clone size by disease stage. Mean size (unique sequences) of expanded clones per individual, grouped by disease category. Each dot represents one individual.</w:t>
      </w:r>
    </w:p>
    <w:p>
      <w:pPr>
        <w:pStyle w:val="BodyText"/>
      </w:pPr>
      <w:r>
        <w:rPr>
          <w:bCs/>
          <w:b/>
        </w:rPr>
        <w:t xml:space="preserve">Figure 8.</w:t>
      </w:r>
      <w:r>
        <w:t xml:space="preserve"> </w:t>
      </w:r>
      <w:r>
        <w:t xml:space="preserve">Fraction of total sequence copies accounted for by the top 10, 100, and 1000 clones per individual, shown as stacked bars by disease stage. Higher values indicate greater oligoclonal dominance.</w:t>
      </w:r>
    </w:p>
    <w:p>
      <w:pPr>
        <w:pStyle w:val="BodyText"/>
      </w:pPr>
      <w:r>
        <w:rPr>
          <w:bCs/>
          <w:b/>
        </w:rPr>
        <w:t xml:space="preserve">Figure 9.</w:t>
      </w:r>
      <w:r>
        <w:t xml:space="preserve"> </w:t>
      </w:r>
      <w:r>
        <w:t xml:space="preserve">CDR3 amino acid length by clone size and disease stage. Expanded clones (≥20 unique sequences) compared to non-expanded clones across six disease categories. Blood samples only.</w:t>
      </w:r>
    </w:p>
    <w:p>
      <w:pPr>
        <w:pStyle w:val="BodyText"/>
      </w:pPr>
      <w:r>
        <w:rPr>
          <w:bCs/>
          <w:b/>
        </w:rPr>
        <w:t xml:space="preserve">Figure 10.</w:t>
      </w:r>
      <w:r>
        <w:t xml:space="preserve"> </w:t>
      </w:r>
      <w:r>
        <w:t xml:space="preserve">Mutation profile (CDR NS, CDR S, FW NS, FW S) by clone size and disease stage. Expanded clones compared to non-expanded clones across disease categories. Blood samples only.</w:t>
      </w:r>
    </w:p>
    <w:p>
      <w:pPr>
        <w:pStyle w:val="BodyText"/>
      </w:pPr>
      <w:r>
        <w:rPr>
          <w:bCs/>
          <w:b/>
        </w:rPr>
        <w:t xml:space="preserve">Figure 11.</w:t>
      </w:r>
      <w:r>
        <w:t xml:space="preserve"> </w:t>
      </w:r>
      <w:r>
        <w:t xml:space="preserve">Mean CDR3 amino acid length of the top 10 clones per individual, grouped by disease stage. Each dot represents one individual; boxplots show median and IQR.</w:t>
      </w:r>
    </w:p>
    <w:p>
      <w:pPr>
        <w:pStyle w:val="BodyText"/>
      </w:pPr>
      <w:r>
        <w:rPr>
          <w:bCs/>
          <w:b/>
        </w:rPr>
        <w:t xml:space="preserve">Figure 12.</w:t>
      </w:r>
      <w:r>
        <w:t xml:space="preserve"> </w:t>
      </w:r>
      <w:r>
        <w:t xml:space="preserve">CDR3 length range (max minus min amino acid length) of the top 10 clones per individual by disease stage.</w:t>
      </w:r>
    </w:p>
    <w:p>
      <w:pPr>
        <w:pStyle w:val="BodyText"/>
      </w:pPr>
      <w:r>
        <w:rPr>
          <w:bCs/>
          <w:b/>
        </w:rPr>
        <w:t xml:space="preserve">Figure 13.</w:t>
      </w:r>
      <w:r>
        <w:t xml:space="preserve"> </w:t>
      </w:r>
      <w:r>
        <w:t xml:space="preserve">CDR3 amino acid length distribution across all clones per individual. Panel A: mean CDR3 length by disease stage with Kruskal-Wallis p-value. Panel B: standard deviation of CDR3 length, reflecting within-individual variability. Each dot is one individual.</w:t>
      </w:r>
    </w:p>
    <w:p>
      <w:pPr>
        <w:pStyle w:val="BodyText"/>
      </w:pPr>
      <w:r>
        <w:rPr>
          <w:bCs/>
          <w:b/>
        </w:rPr>
        <w:t xml:space="preserve">Figure 14.</w:t>
      </w:r>
      <w:r>
        <w:t xml:space="preserve"> </w:t>
      </w:r>
      <w:r>
        <w:t xml:space="preserve">Total somatic hypermutation level in the top 10 clones per individual, grouped by disease stage.</w:t>
      </w:r>
    </w:p>
    <w:p>
      <w:pPr>
        <w:pStyle w:val="BodyText"/>
      </w:pPr>
      <w:r>
        <w:rPr>
          <w:bCs/>
          <w:b/>
        </w:rPr>
        <w:t xml:space="preserve">Figure 15.</w:t>
      </w:r>
      <w:r>
        <w:t xml:space="preserve"> </w:t>
      </w:r>
      <w:r>
        <w:t xml:space="preserve">Mutation gradient across clone size ranks (top 10, remaining top 100, remaining top 1000) by disease stage. Shows how mutation accumulation varies with clonal expansion rank.</w:t>
      </w:r>
    </w:p>
    <w:p>
      <w:pPr>
        <w:pStyle w:val="BodyText"/>
      </w:pPr>
      <w:r>
        <w:rPr>
          <w:bCs/>
          <w:b/>
        </w:rPr>
        <w:t xml:space="preserve">Figure 16.</w:t>
      </w:r>
      <w:r>
        <w:t xml:space="preserve"> </w:t>
      </w:r>
      <w:r>
        <w:t xml:space="preserve">CDR and FW region-specific mutation counts by disease stage. Mutations are split into CDR and framework (FW) regions to distinguish antigen-contact from structural mutations.</w:t>
      </w:r>
    </w:p>
    <w:p>
      <w:pPr>
        <w:pStyle w:val="BodyText"/>
      </w:pPr>
      <w:r>
        <w:rPr>
          <w:bCs/>
          <w:b/>
        </w:rPr>
        <w:t xml:space="preserve">Figure 17.</w:t>
      </w:r>
      <w:r>
        <w:t xml:space="preserve"> </w:t>
      </w:r>
      <w:r>
        <w:t xml:space="preserve">NS/S ratio overview by disease stage. Non-synonymous to synonymous mutation ratio for all clones per individual. Values above 1.0 indicate positive (diversifying) selection.</w:t>
      </w:r>
    </w:p>
    <w:p>
      <w:pPr>
        <w:pStyle w:val="BodyText"/>
      </w:pPr>
      <w:r>
        <w:rPr>
          <w:bCs/>
          <w:b/>
        </w:rPr>
        <w:t xml:space="preserve">Figure 18.</w:t>
      </w:r>
      <w:r>
        <w:t xml:space="preserve"> </w:t>
      </w:r>
      <w:r>
        <w:t xml:space="preserve">NS/S ratio by region and disease stage. Panel A: CDR region NS/S ratio. Panel B: FW region NS/S ratio. Panel C: average non-synonymous and synonymous mutation counts as stacked bars for CDR and FW regions. Kruskal-Wallis p-values annotated.</w:t>
      </w:r>
    </w:p>
    <w:p>
      <w:pPr>
        <w:pStyle w:val="BodyText"/>
      </w:pPr>
      <w:r>
        <w:rPr>
          <w:bCs/>
          <w:b/>
        </w:rPr>
        <w:t xml:space="preserve">Figure 19.</w:t>
      </w:r>
      <w:r>
        <w:t xml:space="preserve"> </w:t>
      </w:r>
      <w:r>
        <w:t xml:space="preserve">V gene usage heatmap by disease stage. Color intensity represents mean frequency of each V gene segment across individuals in each disease category. Only V genes present at ≥1% frequency in ≥85% of individuals are shown (16 genes).</w:t>
      </w:r>
    </w:p>
    <w:p>
      <w:pPr>
        <w:pStyle w:val="BodyText"/>
      </w:pPr>
      <w:r>
        <w:rPr>
          <w:bCs/>
          <w:b/>
        </w:rPr>
        <w:t xml:space="preserve">Figure 20.</w:t>
      </w:r>
      <w:r>
        <w:t xml:space="preserve"> </w:t>
      </w:r>
      <w:r>
        <w:t xml:space="preserve">Clonal metrics versus age by disease stage. Panel A: clone count (log scale) vs. age. Panel B: mean CDR3 length vs. age. Panel C: CDR NS/S ratio vs. age. Each dot is one individual, colored by disease category. Three CD3 healthy individuals (H3, H4, H8) excluded due to missing age/sex metadata.</w:t>
      </w:r>
    </w:p>
    <w:p>
      <w:pPr>
        <w:pStyle w:val="BodyText"/>
      </w:pPr>
      <w:r>
        <w:rPr>
          <w:bCs/>
          <w:b/>
        </w:rPr>
        <w:t xml:space="preserve">Figure 21.</w:t>
      </w:r>
      <w:r>
        <w:t xml:space="preserve"> </w:t>
      </w:r>
      <w:r>
        <w:t xml:space="preserve">Clonal metrics by gender and disease stage. Panel A: clone count (log scale). Panel B: mean CDR3 length. Panel C: CDR NS/S ratio. Boxplots compare male and female individuals within each disease category.</w:t>
      </w:r>
    </w:p>
    <w:p>
      <w:pPr>
        <w:pStyle w:val="BodyText"/>
      </w:pPr>
      <w:r>
        <w:rPr>
          <w:bCs/>
          <w:b/>
        </w:rPr>
        <w:t xml:space="preserve">Figure 22.</w:t>
      </w:r>
      <w:r>
        <w:t xml:space="preserve"> </w:t>
      </w:r>
      <w:r>
        <w:t xml:space="preserve">Mutation level in top 10 clones stratified by sex and disease stage. Shows IS-API’s ability to perform intersectional queries across multiple metadata dimensions simultaneously.</w:t>
      </w:r>
    </w:p>
    <w:p>
      <w:pPr>
        <w:pStyle w:val="BodyText"/>
      </w:pPr>
      <w:r>
        <w:rPr>
          <w:bCs/>
          <w:b/>
        </w:rPr>
        <w:t xml:space="preserve">Figure 23.</w:t>
      </w:r>
      <w:r>
        <w:t xml:space="preserve"> </w:t>
      </w:r>
      <w:r>
        <w:t xml:space="preserve">CDR3 length in top 10 clones stratified by sex and disease stage.</w:t>
      </w:r>
    </w:p>
    <w:p>
      <w:pPr>
        <w:pStyle w:val="BodyText"/>
      </w:pPr>
      <w:r>
        <w:rPr>
          <w:bCs/>
          <w:b/>
        </w:rPr>
        <w:t xml:space="preserve">Figure 24.</w:t>
      </w:r>
      <w:r>
        <w:t xml:space="preserve"> </w:t>
      </w:r>
      <w:r>
        <w:t xml:space="preserve">Within-individual clone count across tissues (cross-study comparison). For individuals with samples from multiple tissues (e.g., blood and bone marrow in HC1, blood and lung in CD1).</w:t>
      </w:r>
    </w:p>
    <w:p>
      <w:pPr>
        <w:pStyle w:val="BodyText"/>
      </w:pPr>
      <w:r>
        <w:rPr>
          <w:bCs/>
          <w:b/>
        </w:rPr>
        <w:t xml:space="preserve">Figure 25.</w:t>
      </w:r>
      <w:r>
        <w:t xml:space="preserve"> </w:t>
      </w:r>
      <w:r>
        <w:t xml:space="preserve">Within-individual clone size across tissues (cross-study comparison).</w:t>
      </w:r>
    </w:p>
    <w:p>
      <w:pPr>
        <w:pStyle w:val="BodyText"/>
      </w:pPr>
      <w:r>
        <w:rPr>
          <w:bCs/>
          <w:b/>
        </w:rPr>
        <w:t xml:space="preserve">Figure 26.</w:t>
      </w:r>
      <w:r>
        <w:t xml:space="preserve"> </w:t>
      </w:r>
      <w:r>
        <w:t xml:space="preserve">Within-individual tissue comparison (paired line plots). Lines connect measurements from different tissues within the same individual, illustrating tissue-specific repertoire differences.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pStyle w:val="BodyText"/>
      </w:pPr>
      <w:r>
        <w:rPr>
          <w:bCs/>
          <w:b/>
        </w:rPr>
        <w:t xml:space="preserve">Table 4.</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5</w:t>
      </w:r>
      <w:r>
        <w:t xml:space="preserve">.</w:t>
      </w:r>
    </w:p>
    <w:p>
      <w:pPr>
        <w:pStyle w:val="BodyText"/>
      </w:pPr>
      <w:r>
        <w:rPr>
          <w:bCs/>
          <w:b/>
        </w:rPr>
        <w:t xml:space="preserve">Table 5.</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2</w:t>
      </w:r>
      <w:r>
        <w:t xml:space="preserve">).</w:t>
      </w:r>
    </w:p>
    <w:p>
      <w:pPr>
        <w:pStyle w:val="BodyText"/>
      </w:pPr>
      <w:r>
        <w:rPr>
          <w:bCs/>
          <w:b/>
        </w:rPr>
        <w:t xml:space="preserve">Table 2.</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3"/>
        </w:numPr>
        <w:pStyle w:val="Compact"/>
      </w:pPr>
      <w:r>
        <w:rPr>
          <w:bCs/>
          <w:b/>
        </w:rPr>
        <w:t xml:space="preserve">repertoires</w:t>
      </w:r>
      <w:r>
        <w:t xml:space="preserve">: specifies the metadata filters (e.g., disease_stage, tissue, sex, age)</w:t>
      </w:r>
    </w:p>
    <w:p>
      <w:pPr>
        <w:numPr>
          <w:ilvl w:val="0"/>
          <w:numId w:val="1003"/>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4"/>
        </w:numPr>
        <w:pStyle w:val="Compact"/>
      </w:pPr>
      <w:r>
        <w:rPr>
          <w:bCs/>
          <w:b/>
        </w:rPr>
        <w:t xml:space="preserve">Info</w:t>
      </w:r>
      <w:r>
        <w:t xml:space="preserve">: project information (title, version, contacts)</w:t>
      </w:r>
    </w:p>
    <w:p>
      <w:pPr>
        <w:numPr>
          <w:ilvl w:val="0"/>
          <w:numId w:val="1004"/>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statistical queries is detailed below in</w:t>
      </w:r>
      <w:r>
        <w:t xml:space="preserve"> </w:t>
      </w:r>
      <w:r>
        <w:rPr>
          <w:bCs/>
          <w:b/>
        </w:rPr>
        <w:t xml:space="preserve">Table 3</w:t>
      </w:r>
      <w:r>
        <w:t xml:space="preserve">, organized by endpoint controller. All endpoints accept metadata filters (disease_stage, tissue, sex, age) in the request body,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3.</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t xml:space="preserve">Importantly, many parameters are not hard-coded — researchers can choose how to measure and filter clones according to their specific research question. For example,</w:t>
      </w:r>
      <w:r>
        <w:t xml:space="preserve"> </w:t>
      </w:r>
      <w:r>
        <w:rPr>
          <w:iCs/>
          <w:i/>
        </w:rPr>
        <w:t xml:space="preserve">clone_size</w:t>
      </w:r>
      <w:r>
        <w:t xml:space="preserve"> </w:t>
      </w:r>
      <w:r>
        <w:t xml:space="preserve">can measure clonal expansion in three different ways: by unique sequences (distinct sequences across an entire individual, reflecting overall diversity), by instances (distinct sequences within a single sample, capturing sample-level diversity), or by copy number (raw read counts, reflecting sequence abundance). Similarly, the expansion threshold in</w:t>
      </w:r>
      <w:r>
        <w:t xml:space="preserve"> </w:t>
      </w:r>
      <w:r>
        <w:rPr>
          <w:iCs/>
          <w:i/>
        </w:rPr>
        <w:t xml:space="preserve">clone_count</w:t>
      </w:r>
      <w:r>
        <w:t xml:space="preserve"> </w:t>
      </w:r>
      <w:r>
        <w:t xml:space="preserve">can be adjusted to study clones at different levels of expansion, and the clone-size-filtered endpoints (</w:t>
      </w:r>
      <w:r>
        <w:rPr>
          <w:iCs/>
          <w:i/>
        </w:rPr>
        <w:t xml:space="preserve">cdr3_by_clone_size</w:t>
      </w:r>
      <w:r>
        <w:t xml:space="preserve">,</w:t>
      </w:r>
      <w:r>
        <w:t xml:space="preserve"> </w:t>
      </w:r>
      <w:r>
        <w:rPr>
          <w:iCs/>
          <w:i/>
        </w:rPr>
        <w:t xml:space="preserve">mutation_rs_by_clone_size</w:t>
      </w:r>
      <w:r>
        <w:t xml:space="preserve">) allow researchers to compare properties of expanded versus non-expanded clones at any chosen threshold.</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For the COVID-19 clonal analysis, we computed the following measures per individual (blood samples only):</w:t>
      </w:r>
    </w:p>
    <w:p>
      <w:pPr>
        <w:numPr>
          <w:ilvl w:val="0"/>
          <w:numId w:val="1005"/>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5"/>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5"/>
        </w:numPr>
      </w:pPr>
      <w:r>
        <w:rPr>
          <w:bCs/>
          <w:b/>
        </w:rPr>
        <w:t xml:space="preserve">NS/S mutation ratio</w:t>
      </w:r>
      <w:r>
        <w:t xml:space="preserve">: The ratio of non-synonymous to synonymous mutations, computed separately for CDR and FW regions. An NS/S ratio greater than 1 in CDR regions indicates positive selection for antigen binding; a ratio near 1 in framework regions indicates purifying selection to maintain structural integrity [12].</w:t>
      </w:r>
    </w:p>
    <w:p>
      <w:pPr>
        <w:numPr>
          <w:ilvl w:val="0"/>
          <w:numId w:val="1005"/>
        </w:numPr>
      </w:pPr>
      <w:r>
        <w:rPr>
          <w:bCs/>
          <w:b/>
        </w:rPr>
        <w:t xml:space="preserve">CDR3 length</w:t>
      </w:r>
      <w:r>
        <w:t xml:space="preserve">: Mean and standard deviation of CDR3 amino acid length across all clones per individual.</w:t>
      </w:r>
    </w:p>
    <w:p>
      <w:pPr>
        <w:numPr>
          <w:ilvl w:val="0"/>
          <w:numId w:val="1005"/>
        </w:numPr>
      </w:pPr>
      <w:r>
        <w:rPr>
          <w:bCs/>
          <w:b/>
        </w:rPr>
        <w:t xml:space="preserve">V gene usage</w:t>
      </w:r>
      <w:r>
        <w:t xml:space="preserve">: Frequency of each V gene across individuals, filtered to V genes present at 1% or higher frequency in at least 85% of individuals.</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56"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20-21).</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8" w:name="clonal-diversity-and-clone-count"/>
    <w:p>
      <w:pPr>
        <w:pStyle w:val="Heading2"/>
      </w:pPr>
      <w:r>
        <w:rPr>
          <w:rStyle w:val="SectionNumber"/>
        </w:rPr>
        <w:t xml:space="preserve">7.2</w:t>
      </w:r>
      <w:r>
        <w:tab/>
      </w:r>
      <w:r>
        <w:t xml:space="preserve">Clonal Diversity and Clone Count</w:t>
      </w:r>
    </w:p>
    <w:p>
      <w:pPr>
        <w:pStyle w:val="FirstParagraph"/>
      </w:pP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w:t>
      </w:r>
    </w:p>
    <w:p>
      <w:pPr>
        <w:pStyle w:val="CaptionedFigure"/>
      </w:pPr>
      <w:r>
        <w:drawing>
          <wp:inline>
            <wp:extent cx="5334000" cy="3556000"/>
            <wp:effectExtent b="0" l="0" r="0" t="0"/>
            <wp:docPr descr="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 title="" id="70" name="Picture"/>
            <a:graphic>
              <a:graphicData uri="http://schemas.openxmlformats.org/drawingml/2006/picture">
                <pic:pic>
                  <pic:nvPicPr>
                    <pic:cNvPr descr="../immunedb_STATS_API/clonal_analysis/plots/01_clone_count_by_disease.png" id="71" name="Picture"/>
                    <pic:cNvPicPr>
                      <a:picLocks noChangeArrowheads="1" noChangeAspect="1"/>
                    </pic:cNvPicPr>
                  </pic:nvPicPr>
                  <pic:blipFill>
                    <a:blip r:embed="rId6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w:t>
      </w:r>
    </w:p>
    <w:p>
      <w:pPr>
        <w:pStyle w:val="BodyText"/>
      </w:pPr>
      <w:r>
        <w:t xml:space="preserve">To further assess clonal diversity, we computed Hill numbers of orders 0 (richness), 1 (Shannon), and 2 (Simpson) from the clone size distribution of each individual (</w:t>
      </w:r>
      <w:r>
        <w:rPr>
          <w:bCs/>
          <w:b/>
        </w:rPr>
        <w:t xml:space="preserve">Figure 2</w:t>
      </w:r>
      <w:r>
        <w:t xml:space="preserve">).</w:t>
      </w:r>
    </w:p>
    <w:p>
      <w:pPr>
        <w:pStyle w:val="CaptionedFigure"/>
      </w:pPr>
      <w:r>
        <w:drawing>
          <wp:inline>
            <wp:extent cx="5334000" cy="1845482"/>
            <wp:effectExtent b="0" l="0" r="0" t="0"/>
            <wp:docPr descr="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3" name="Picture"/>
            <a:graphic>
              <a:graphicData uri="http://schemas.openxmlformats.org/drawingml/2006/picture">
                <pic:pic>
                  <pic:nvPicPr>
                    <pic:cNvPr descr="../immunedb_STATS_API/clonal_analysis/plots/17_diversity_hill_numbers.png" id="74" name="Picture"/>
                    <pic:cNvPicPr>
                      <a:picLocks noChangeArrowheads="1" noChangeAspect="1"/>
                    </pic:cNvPicPr>
                  </pic:nvPicPr>
                  <pic:blipFill>
                    <a:blip r:embed="rId72"/>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3</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6" name="Picture"/>
            <a:graphic>
              <a:graphicData uri="http://schemas.openxmlformats.org/drawingml/2006/picture">
                <pic:pic>
                  <pic:nvPicPr>
                    <pic:cNvPr descr="../immunedb_STATS_API/clonal_analysis/plots/18_diversity_profiles.png" id="77" name="Picture"/>
                    <pic:cNvPicPr>
                      <a:picLocks noChangeArrowheads="1" noChangeAspect="1"/>
                    </pic:cNvPicPr>
                  </pic:nvPicPr>
                  <pic:blipFill>
                    <a:blip r:embed="rId75"/>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8"/>
    <w:bookmarkStart w:id="94"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The count of expanded clones per individual showed how many clones exceed the expansion threshold in each disease category (</w:t>
      </w:r>
      <w:r>
        <w:rPr>
          <w:bCs/>
          <w:b/>
        </w:rPr>
        <w:t xml:space="preserve">Figure 4</w:t>
      </w:r>
      <w:r>
        <w:t xml:space="preserve">).</w:t>
      </w:r>
    </w:p>
    <w:p>
      <w:pPr>
        <w:pStyle w:val="CaptionedFigure"/>
      </w:pPr>
      <w:r>
        <w:drawing>
          <wp:inline>
            <wp:extent cx="5334000" cy="3556000"/>
            <wp:effectExtent b="0" l="0" r="0" t="0"/>
            <wp:docPr descr="Figure 4. Expanded clone count by disease stage. Number of clones exceeding the expansion threshold (≥20 unique sequences) per individual, grouped by disease category. Each dot represents one individual; boxplots show median and IQR." title="" id="80" name="Picture"/>
            <a:graphic>
              <a:graphicData uri="http://schemas.openxmlformats.org/drawingml/2006/picture">
                <pic:pic>
                  <pic:nvPicPr>
                    <pic:cNvPr descr="../immunedb_STATS_API/clonal_analysis/plots/10_expanded_clones_by_disease.png" id="81" name="Picture"/>
                    <pic:cNvPicPr>
                      <a:picLocks noChangeArrowheads="1" noChangeAspect="1"/>
                    </pic:cNvPicPr>
                  </pic:nvPicPr>
                  <pic:blipFill>
                    <a:blip r:embed="rId7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Expanded clone count by disease stage. Number of clones exceeding the expansion threshold (≥20 unique sequences) per individual, grouped by disease category. Each dot represents one individual; boxplots show median and IQR.</w:t>
      </w:r>
    </w:p>
    <w:p>
      <w:pPr>
        <w:pStyle w:val="BodyText"/>
      </w:pPr>
      <w:r>
        <w:t xml:space="preserve">We also examined the number of expanded clones at three expansion thresholds: 20, 50, and 100 unique sequences per clone (</w:t>
      </w:r>
      <w:r>
        <w:rPr>
          <w:bCs/>
          <w:b/>
        </w:rPr>
        <w:t xml:space="preserve">Figure 5</w:t>
      </w:r>
      <w:r>
        <w:t xml:space="preserve">).</w:t>
      </w:r>
    </w:p>
    <w:p>
      <w:pPr>
        <w:pStyle w:val="CaptionedFigure"/>
      </w:pPr>
      <w:r>
        <w:drawing>
          <wp:inline>
            <wp:extent cx="5334000" cy="1757149"/>
            <wp:effectExtent b="0" l="0" r="0" t="0"/>
            <wp:docPr descr="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83" name="Picture"/>
            <a:graphic>
              <a:graphicData uri="http://schemas.openxmlformats.org/drawingml/2006/picture">
                <pic:pic>
                  <pic:nvPicPr>
                    <pic:cNvPr descr="../immunedb_STATS_API/clonal_analysis/plots/19_expanded_clones_threshold.png" id="84" name="Picture"/>
                    <pic:cNvPicPr>
                      <a:picLocks noChangeArrowheads="1" noChangeAspect="1"/>
                    </pic:cNvPicPr>
                  </pic:nvPicPr>
                  <pic:blipFill>
                    <a:blip r:embed="rId82"/>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6</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6" name="Picture"/>
            <a:graphic>
              <a:graphicData uri="http://schemas.openxmlformats.org/drawingml/2006/picture">
                <pic:pic>
                  <pic:nvPicPr>
                    <pic:cNvPr descr="../immunedb_STATS_API/clonal_analysis/plots/20_clone_size_distribution.png" id="87" name="Picture"/>
                    <pic:cNvPicPr>
                      <a:picLocks noChangeArrowheads="1" noChangeAspect="1"/>
                    </pic:cNvPicPr>
                  </pic:nvPicPr>
                  <pic:blipFill>
                    <a:blip r:embed="rId85"/>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7</w:t>
      </w:r>
      <w:r>
        <w:t xml:space="preserve">).</w:t>
      </w:r>
    </w:p>
    <w:p>
      <w:pPr>
        <w:pStyle w:val="CaptionedFigure"/>
      </w:pPr>
      <w:r>
        <w:drawing>
          <wp:inline>
            <wp:extent cx="5334000" cy="3556000"/>
            <wp:effectExtent b="0" l="0" r="0" t="0"/>
            <wp:docPr descr="Figure 7. Mean size of expanded clones by disease stage. Each dot represents the mean number of unique sequences across expanded clones for one individual; boxplots show median and IQR. Reflects the magnitude of clonal expansion in each disease category." title="" id="89" name="Picture"/>
            <a:graphic>
              <a:graphicData uri="http://schemas.openxmlformats.org/drawingml/2006/picture">
                <pic:pic>
                  <pic:nvPicPr>
                    <pic:cNvPr descr="../immunedb_STATS_API/clonal_analysis/plots/11_expanded_clone_size_by_disease.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8</w:t>
      </w:r>
      <w:r>
        <w:t xml:space="preserve">), revealing the degree of oligoclonal dominance in each disease category.</w:t>
      </w:r>
    </w:p>
    <w:p>
      <w:pPr>
        <w:pStyle w:val="CaptionedFigure"/>
      </w:pPr>
      <w:r>
        <w:drawing>
          <wp:inline>
            <wp:extent cx="5334000" cy="2667000"/>
            <wp:effectExtent b="0" l="0" r="0" t="0"/>
            <wp:docPr descr="Figure 8. Clonal concentration: fraction of total sequence copies accounted for by the top 10, top 100, and top 1000 clones per individual, shown as stacked bars by disease stage. Higher values indicate greater oligoclonal dominance. Each bar represents one individual." title="" id="92" name="Picture"/>
            <a:graphic>
              <a:graphicData uri="http://schemas.openxmlformats.org/drawingml/2006/picture">
                <pic:pic>
                  <pic:nvPicPr>
                    <pic:cNvPr descr="../immunedb_STATS_API/clonal_analysis/plots/02_topX_stacked_by_disease.png" id="93" name="Picture"/>
                    <pic:cNvPicPr>
                      <a:picLocks noChangeArrowheads="1" noChangeAspect="1"/>
                    </pic:cNvPicPr>
                  </pic:nvPicPr>
                  <pic:blipFill>
                    <a:blip r:embed="rId9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8. Clonal concentration: fraction of total sequence copies accounted for by the top 10, top 100, and top 1000 clones per individual, shown as stacked bars by disease stage. Higher values indicate greater oligoclonal dominance. Each bar represents one individual.</w:t>
      </w:r>
    </w:p>
    <w:bookmarkEnd w:id="94"/>
    <w:bookmarkStart w:id="101" w:name="clone-size-stratified-analysis"/>
    <w:p>
      <w:pPr>
        <w:pStyle w:val="Heading2"/>
      </w:pPr>
      <w:r>
        <w:rPr>
          <w:rStyle w:val="SectionNumber"/>
        </w:rPr>
        <w:t xml:space="preserve">7.4</w:t>
      </w:r>
      <w:r>
        <w:tab/>
      </w:r>
      <w:r>
        <w:t xml:space="preserve">Clone-Size-Stratified Analysis</w:t>
      </w:r>
    </w:p>
    <w:p>
      <w:pPr>
        <w:pStyle w:val="FirstParagraph"/>
      </w:pPr>
      <w:r>
        <w:rPr>
          <w:bCs/>
          <w:b/>
        </w:rPr>
        <w:t xml:space="preserve">CDR3 length by clone size.</w:t>
      </w:r>
      <w:r>
        <w:t xml:space="preserve"> </w:t>
      </w:r>
      <w:r>
        <w:t xml:space="preserve">Using the cdr3_by_clone_size endpoint, we compared CDR3 amino acid lengths between expanded clones (≥20 unique sequences) and non-expanded clones (&lt;20 unique sequences) across disease categories (</w:t>
      </w:r>
      <w:r>
        <w:rPr>
          <w:bCs/>
          <w:b/>
        </w:rPr>
        <w:t xml:space="preserve">Figure 11</w:t>
      </w:r>
      <w:r>
        <w:t xml:space="preserve">). Expanded clones showed consistently shorter CDR3 lengths compared to their non-expanded counterparts in most groups, with the difference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9.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96" name="Picture"/>
            <a:graphic>
              <a:graphicData uri="http://schemas.openxmlformats.org/drawingml/2006/picture">
                <pic:pic>
                  <pic:nvPicPr>
                    <pic:cNvPr descr="../immunedb_STATS_API/clonal_analysis/plots/09_cdr3_expanded_vs_rest.png" id="97" name="Picture"/>
                    <pic:cNvPicPr>
                      <a:picLocks noChangeArrowheads="1" noChangeAspect="1"/>
                    </pic:cNvPicPr>
                  </pic:nvPicPr>
                  <pic:blipFill>
                    <a:blip r:embed="rId95"/>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9.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12</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10.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9" name="Picture"/>
            <a:graphic>
              <a:graphicData uri="http://schemas.openxmlformats.org/drawingml/2006/picture">
                <pic:pic>
                  <pic:nvPicPr>
                    <pic:cNvPr descr="../immunedb_STATS_API/clonal_analysis/plots/10_mutations_expanded_vs_rest.png" id="100" name="Picture"/>
                    <pic:cNvPicPr>
                      <a:picLocks noChangeArrowheads="1" noChangeAspect="1"/>
                    </pic:cNvPicPr>
                  </pic:nvPicPr>
                  <pic:blipFill>
                    <a:blip r:embed="rId98"/>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10.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101"/>
    <w:bookmarkStart w:id="111"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13</w:t>
      </w:r>
      <w:r>
        <w:t xml:space="preserve">), along with the range of CDR3 lengths (</w:t>
      </w:r>
      <w:r>
        <w:rPr>
          <w:bCs/>
          <w:b/>
        </w:rPr>
        <w:t xml:space="preserve">Figure 14</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11. Mean CDR3 amino acid length of the top 10 clones per individual, grouped by disease stage. Each dot represents one individual; boxplots show median and IQR. CDR3 length reflects the antigen-binding loop size of the most expanded clones." title="" id="103" name="Picture"/>
            <a:graphic>
              <a:graphicData uri="http://schemas.openxmlformats.org/drawingml/2006/picture">
                <pic:pic>
                  <pic:nvPicPr>
                    <pic:cNvPr descr="../immunedb_STATS_API/clonal_analysis/plots/03_cdr3_by_disease.png" id="104" name="Picture"/>
                    <pic:cNvPicPr>
                      <a:picLocks noChangeArrowheads="1" noChangeAspect="1"/>
                    </pic:cNvPicPr>
                  </pic:nvPicPr>
                  <pic:blipFill>
                    <a:blip r:embed="rId10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11.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2. CDR3 length range (max minus min amino acid length) of the top 10 clones per individual, grouped by disease stage. Larger ranges indicate greater CDR3 structural heterogeneity among the dominant clones." title="" id="106" name="Picture"/>
            <a:graphic>
              <a:graphicData uri="http://schemas.openxmlformats.org/drawingml/2006/picture">
                <pic:pic>
                  <pic:nvPicPr>
                    <pic:cNvPr descr="../immunedb_STATS_API/clonal_analysis/plots/04_cdr3_range_by_disease.png" id="107" name="Picture"/>
                    <pic:cNvPicPr>
                      <a:picLocks noChangeArrowheads="1" noChangeAspect="1"/>
                    </pic:cNvPicPr>
                  </pic:nvPicPr>
                  <pic:blipFill>
                    <a:blip r:embed="rId10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12.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13</w:t>
      </w:r>
      <w:r>
        <w:t xml:space="preserve">).</w:t>
      </w:r>
    </w:p>
    <w:p>
      <w:pPr>
        <w:pStyle w:val="CaptionedFigure"/>
      </w:pPr>
      <w:r>
        <w:drawing>
          <wp:inline>
            <wp:extent cx="5334000" cy="2310924"/>
            <wp:effectExtent b="0" l="0" r="0" t="0"/>
            <wp:docPr descr="Figure 13.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9" name="Picture"/>
            <a:graphic>
              <a:graphicData uri="http://schemas.openxmlformats.org/drawingml/2006/picture">
                <pic:pic>
                  <pic:nvPicPr>
                    <pic:cNvPr descr="../immunedb_STATS_API/clonal_analysis/plots/22_cdr3_length_distribution.png" id="110" name="Picture"/>
                    <pic:cNvPicPr>
                      <a:picLocks noChangeArrowheads="1" noChangeAspect="1"/>
                    </pic:cNvPicPr>
                  </pic:nvPicPr>
                  <pic:blipFill>
                    <a:blip r:embed="rId108"/>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13.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11"/>
    <w:bookmarkStart w:id="127"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14</w:t>
      </w:r>
      <w:r>
        <w:t xml:space="preserve">), while the mutation gradient across clone size ranks (top 10 vs. remaining top 100 vs. remaining top 1000) revealed how mutation accumulation varies with clonal expansion (</w:t>
      </w:r>
      <w:r>
        <w:rPr>
          <w:bCs/>
          <w:b/>
        </w:rPr>
        <w:t xml:space="preserve">Figure 15</w:t>
      </w:r>
      <w:r>
        <w:t xml:space="preserve">). Region-specific queries separated CDR from framework mutations (</w:t>
      </w:r>
      <w:r>
        <w:rPr>
          <w:bCs/>
          <w:b/>
        </w:rPr>
        <w:t xml:space="preserve">Figure 16</w:t>
      </w:r>
      <w:r>
        <w:t xml:space="preserve">), and the NS/S ratio endpoint provided an overview of selection pressure across disease categories (</w:t>
      </w:r>
      <w:r>
        <w:rPr>
          <w:bCs/>
          <w:b/>
        </w:rPr>
        <w:t xml:space="preserve">Figure 17</w:t>
      </w:r>
      <w:r>
        <w:t xml:space="preserve">).</w:t>
      </w:r>
    </w:p>
    <w:p>
      <w:pPr>
        <w:pStyle w:val="CaptionedFigure"/>
      </w:pPr>
      <w:r>
        <w:drawing>
          <wp:inline>
            <wp:extent cx="5334000" cy="3048000"/>
            <wp:effectExtent b="0" l="0" r="0" t="0"/>
            <wp:docPr descr="Figure 14. Total somatic hypermutation level in the top 10 clones per individual, grouped by disease stage. Each dot represents one individual; boxplots show median and IQR. Higher values indicate greater mutation accumulation." title="" id="113" name="Picture"/>
            <a:graphic>
              <a:graphicData uri="http://schemas.openxmlformats.org/drawingml/2006/picture">
                <pic:pic>
                  <pic:nvPicPr>
                    <pic:cNvPr descr="../immunedb_STATS_API/clonal_analysis/plots/05_mutation_by_disease.png" id="114" name="Picture"/>
                    <pic:cNvPicPr>
                      <a:picLocks noChangeArrowheads="1" noChangeAspect="1"/>
                    </pic:cNvPicPr>
                  </pic:nvPicPr>
                  <pic:blipFill>
                    <a:blip r:embed="rId11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5. Mutation gradient across clone size ranks by disease stage. Shows average mutation counts for the top 10, remaining top 100, and remaining top 1000 clones, revealing how mutation accumulation varies with clonal expansion rank." title="" id="116" name="Picture"/>
            <a:graphic>
              <a:graphicData uri="http://schemas.openxmlformats.org/drawingml/2006/picture">
                <pic:pic>
                  <pic:nvPicPr>
                    <pic:cNvPr descr="../immunedb_STATS_API/clonal_analysis/plots/06_mutation_gradient_by_disease.png" id="117" name="Picture"/>
                    <pic:cNvPicPr>
                      <a:picLocks noChangeArrowheads="1" noChangeAspect="1"/>
                    </pic:cNvPicPr>
                  </pic:nvPicPr>
                  <pic:blipFill>
                    <a:blip r:embed="rId1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15.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6. CDR and FW region-specific mutation counts by disease stage. Mutations are separated into CDR and FW regions, distinguishing antigen-contact mutations from structural mutations." title="" id="119" name="Picture"/>
            <a:graphic>
              <a:graphicData uri="http://schemas.openxmlformats.org/drawingml/2006/picture">
                <pic:pic>
                  <pic:nvPicPr>
                    <pic:cNvPr descr="../immunedb_STATS_API/clonal_analysis/plots/07_cdr_mutations_by_disease.png" id="120" name="Picture"/>
                    <pic:cNvPicPr>
                      <a:picLocks noChangeArrowheads="1" noChangeAspect="1"/>
                    </pic:cNvPicPr>
                  </pic:nvPicPr>
                  <pic:blipFill>
                    <a:blip r:embed="rId11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16.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7. NS/S ratio overview by disease stage. Non-synonymous to synonymous mutation ratio for all clones per individual. Values above 1.0 indicate positive (diversifying) selection; values below 1.0 indicate purifying selection. Each dot represents one individual." title="" id="122" name="Picture"/>
            <a:graphic>
              <a:graphicData uri="http://schemas.openxmlformats.org/drawingml/2006/picture">
                <pic:pic>
                  <pic:nvPicPr>
                    <pic:cNvPr descr="../immunedb_STATS_API/clonal_analysis/plots/08_rs_ratio_by_disease.png" id="123" name="Picture"/>
                    <pic:cNvPicPr>
                      <a:picLocks noChangeArrowheads="1" noChangeAspect="1"/>
                    </pic:cNvPicPr>
                  </pic:nvPicPr>
                  <pic:blipFill>
                    <a:blip r:embed="rId12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17.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18</w:t>
      </w:r>
      <w:r>
        <w:t xml:space="preserve">).</w:t>
      </w:r>
    </w:p>
    <w:p>
      <w:pPr>
        <w:pStyle w:val="CaptionedFigure"/>
      </w:pPr>
      <w:r>
        <w:drawing>
          <wp:inline>
            <wp:extent cx="5334000" cy="1845894"/>
            <wp:effectExtent b="0" l="0" r="0" t="0"/>
            <wp:docPr descr="Figure 18.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25" name="Picture"/>
            <a:graphic>
              <a:graphicData uri="http://schemas.openxmlformats.org/drawingml/2006/picture">
                <pic:pic>
                  <pic:nvPicPr>
                    <pic:cNvPr descr="../immunedb_STATS_API/clonal_analysis/plots/21_mutations_rs_ratio.png" id="126" name="Picture"/>
                    <pic:cNvPicPr>
                      <a:picLocks noChangeArrowheads="1" noChangeAspect="1"/>
                    </pic:cNvPicPr>
                  </pic:nvPicPr>
                  <pic:blipFill>
                    <a:blip r:embed="rId124"/>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18.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7"/>
    <w:bookmarkStart w:id="131"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19</w:t>
      </w:r>
      <w:r>
        <w:t xml:space="preserve">).</w:t>
      </w:r>
    </w:p>
    <w:p>
      <w:pPr>
        <w:pStyle w:val="CaptionedFigure"/>
      </w:pPr>
      <w:r>
        <w:drawing>
          <wp:inline>
            <wp:extent cx="5334000" cy="2762409"/>
            <wp:effectExtent b="0" l="0" r="0" t="0"/>
            <wp:docPr descr="Figure 19.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9" name="Picture"/>
            <a:graphic>
              <a:graphicData uri="http://schemas.openxmlformats.org/drawingml/2006/picture">
                <pic:pic>
                  <pic:nvPicPr>
                    <pic:cNvPr descr="../immunedb_STATS_API/clonal_analysis/plots/23_v_gene_usage_heatmap.png" id="130" name="Picture"/>
                    <pic:cNvPicPr>
                      <a:picLocks noChangeArrowheads="1" noChangeAspect="1"/>
                    </pic:cNvPicPr>
                  </pic:nvPicPr>
                  <pic:blipFill>
                    <a:blip r:embed="rId128"/>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19.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31"/>
    <w:bookmarkStart w:id="138"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20.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33" name="Picture"/>
            <a:graphic>
              <a:graphicData uri="http://schemas.openxmlformats.org/drawingml/2006/picture">
                <pic:pic>
                  <pic:nvPicPr>
                    <pic:cNvPr descr="../immunedb_STATS_API/clonal_analysis/plots/24_metrics_vs_age.png" id="134" name="Picture"/>
                    <pic:cNvPicPr>
                      <a:picLocks noChangeArrowheads="1" noChangeAspect="1"/>
                    </pic:cNvPicPr>
                  </pic:nvPicPr>
                  <pic:blipFill>
                    <a:blip r:embed="rId132"/>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20.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20</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1. Clonal metrics by gender and disease stage. Panel A: clone count (log scale). Panel B: mean CDR3 length. Panel C: CDR NS/S ratio. Boxplots compare male and female individuals within each disease category." title="" id="136" name="Picture"/>
            <a:graphic>
              <a:graphicData uri="http://schemas.openxmlformats.org/drawingml/2006/picture">
                <pic:pic>
                  <pic:nvPicPr>
                    <pic:cNvPr descr="../immunedb_STATS_API/clonal_analysis/plots/25_metrics_vs_gender.png" id="137" name="Picture"/>
                    <pic:cNvPicPr>
                      <a:picLocks noChangeArrowheads="1" noChangeAspect="1"/>
                    </pic:cNvPicPr>
                  </pic:nvPicPr>
                  <pic:blipFill>
                    <a:blip r:embed="rId135"/>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21.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21</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8"/>
    <w:bookmarkStart w:id="145"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22</w:t>
      </w:r>
      <w:r>
        <w:t xml:space="preserve">) and CDR3 lengths (</w:t>
      </w:r>
      <w:r>
        <w:rPr>
          <w:bCs/>
          <w:b/>
        </w:rPr>
        <w:t xml:space="preserve">Figure 23</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2. Mutation level in top 10 clones stratified by sex and disease stage. Male and female individuals compared within each disease category. Demonstrates IS-API’s ability to perform intersectional queries across multiple metadata dimensions in a single API call." title="" id="140" name="Picture"/>
            <a:graphic>
              <a:graphicData uri="http://schemas.openxmlformats.org/drawingml/2006/picture">
                <pic:pic>
                  <pic:nvPicPr>
                    <pic:cNvPr descr="../immunedb_STATS_API/clonal_analysis/plots/12_mutation_top10_by_sex_disease.png" id="141" name="Picture"/>
                    <pic:cNvPicPr>
                      <a:picLocks noChangeArrowheads="1" noChangeAspect="1"/>
                    </pic:cNvPicPr>
                  </pic:nvPicPr>
                  <pic:blipFill>
                    <a:blip r:embed="rId1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22.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3. CDR3 length in top 10 clones stratified by sex and disease stage. Mean CDR3 amino acid length of the top 10 clones per individual, grouped by sex within each disease category." title="" id="143" name="Picture"/>
            <a:graphic>
              <a:graphicData uri="http://schemas.openxmlformats.org/drawingml/2006/picture">
                <pic:pic>
                  <pic:nvPicPr>
                    <pic:cNvPr descr="../immunedb_STATS_API/clonal_analysis/plots/13_cdr3_top10_by_sex_disease.png" id="144" name="Picture"/>
                    <pic:cNvPicPr>
                      <a:picLocks noChangeArrowheads="1" noChangeAspect="1"/>
                    </pic:cNvPicPr>
                  </pic:nvPicPr>
                  <pic:blipFill>
                    <a:blip r:embed="rId14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23. CDR3 length in top 10 clones stratified by sex and disease stage. Mean CDR3 amino acid length of the top 10 clones per individual, grouped by sex within each disease category.</w:t>
      </w:r>
    </w:p>
    <w:bookmarkEnd w:id="145"/>
    <w:bookmarkStart w:id="155"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24</w:t>
      </w:r>
      <w:r>
        <w:t xml:space="preserve">), clone sizes (</w:t>
      </w:r>
      <w:r>
        <w:rPr>
          <w:bCs/>
          <w:b/>
        </w:rPr>
        <w:t xml:space="preserve">Figure 25</w:t>
      </w:r>
      <w:r>
        <w:t xml:space="preserve">), and paired tissue measurements (</w:t>
      </w:r>
      <w:r>
        <w:rPr>
          <w:bCs/>
          <w:b/>
        </w:rPr>
        <w:t xml:space="preserve">Figure 26</w:t>
      </w:r>
      <w:r>
        <w:t xml:space="preserve">) within the same individual.</w:t>
      </w:r>
    </w:p>
    <w:p>
      <w:pPr>
        <w:pStyle w:val="CaptionedFigure"/>
      </w:pPr>
      <w:r>
        <w:drawing>
          <wp:inline>
            <wp:extent cx="5334000" cy="3306593"/>
            <wp:effectExtent b="0" l="0" r="0" t="0"/>
            <wp:docPr descr="Figure 24. Within-individual clone count across tissues. For individuals with samples from multiple tissues (e.g., blood and bone marrow in HC1, blood and lung in CD1), clone counts are compared across tissue types within the same individual." title="" id="147" name="Picture"/>
            <a:graphic>
              <a:graphicData uri="http://schemas.openxmlformats.org/drawingml/2006/picture">
                <pic:pic>
                  <pic:nvPicPr>
                    <pic:cNvPr descr="../immunedb_STATS_API/clonal_analysis/plots/14_within_subject_clone_count.png" id="148" name="Picture"/>
                    <pic:cNvPicPr>
                      <a:picLocks noChangeArrowheads="1" noChangeAspect="1"/>
                    </pic:cNvPicPr>
                  </pic:nvPicPr>
                  <pic:blipFill>
                    <a:blip r:embed="rId146"/>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24.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5. Within-individual clone size across tissues. Clone size distributions compared between different tissue types within the same individual across studies." title="" id="150" name="Picture"/>
            <a:graphic>
              <a:graphicData uri="http://schemas.openxmlformats.org/drawingml/2006/picture">
                <pic:pic>
                  <pic:nvPicPr>
                    <pic:cNvPr descr="../immunedb_STATS_API/clonal_analysis/plots/15_within_subject_clone_size_cross_study.png" id="151" name="Picture"/>
                    <pic:cNvPicPr>
                      <a:picLocks noChangeArrowheads="1" noChangeAspect="1"/>
                    </pic:cNvPicPr>
                  </pic:nvPicPr>
                  <pic:blipFill>
                    <a:blip r:embed="rId149"/>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25.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6. Within-individual tissue comparison using paired line plots. Lines connect measurements from different tissues within the same individual, illustrating tissue-specific repertoire differences. Each line represents one individual sampled from multiple tissues." title="" id="153" name="Picture"/>
            <a:graphic>
              <a:graphicData uri="http://schemas.openxmlformats.org/drawingml/2006/picture">
                <pic:pic>
                  <pic:nvPicPr>
                    <pic:cNvPr descr="../immunedb_STATS_API/clonal_analysis/plots/16_within_subject_tissue_lines.png" id="154" name="Picture"/>
                    <pic:cNvPicPr>
                      <a:picLocks noChangeArrowheads="1" noChangeAspect="1"/>
                    </pic:cNvPicPr>
                  </pic:nvPicPr>
                  <pic:blipFill>
                    <a:blip r:embed="rId152"/>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26.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55"/>
    <w:bookmarkEnd w:id="156"/>
    <w:bookmarkStart w:id="161" w:name="discussion-and-conclusions"/>
    <w:p>
      <w:pPr>
        <w:pStyle w:val="Heading1"/>
      </w:pPr>
      <w:r>
        <w:rPr>
          <w:rStyle w:val="SectionNumber"/>
        </w:rPr>
        <w:t xml:space="preserve">8</w:t>
      </w:r>
      <w:r>
        <w:tab/>
      </w:r>
      <w:r>
        <w:t xml:space="preserve">Discussion and Conclusions</w:t>
      </w:r>
    </w:p>
    <w:bookmarkStart w:id="157"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7"/>
    <w:bookmarkStart w:id="158"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8"/>
    <w:bookmarkStart w:id="159"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9"/>
    <w:bookmarkStart w:id="160"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60"/>
    <w:bookmarkEnd w:id="161"/>
    <w:bookmarkStart w:id="162"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91" Target="media/rId91.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95" Target="media/rId95.png" /><Relationship Type="http://schemas.openxmlformats.org/officeDocument/2006/relationships/image" Id="rId79" Target="media/rId79.png" /><Relationship Type="http://schemas.openxmlformats.org/officeDocument/2006/relationships/image" Id="rId98" Target="media/rId98.png" /><Relationship Type="http://schemas.openxmlformats.org/officeDocument/2006/relationships/image" Id="rId88" Target="media/rId88.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24" Target="media/rId124.png" /><Relationship Type="http://schemas.openxmlformats.org/officeDocument/2006/relationships/image" Id="rId108" Target="media/rId108.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2026-09-03T06:29:09Z</dcterms:created>
  <dcterms:modified xsi:type="dcterms:W3CDTF">2026-09-03T06:29:09Z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