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2.png" ContentType="image/png"/>
  <Override PartName="/word/media/rId95.png" ContentType="image/png"/>
  <Override PartName="/word/media/rId86.png" ContentType="image/png"/>
  <Override PartName="/word/media/rId113.png" ContentType="image/png"/>
  <Override PartName="/word/media/rId116.png" ContentType="image/png"/>
  <Override PartName="/word/media/rId120.png" ContentType="image/png"/>
  <Override PartName="/word/media/rId123.png" ContentType="image/png"/>
  <Override PartName="/word/media/rId126.png" ContentType="image/png"/>
  <Override PartName="/word/media/rId72.png" ContentType="image/png"/>
  <Override PartName="/word/media/rId76.png" ContentType="image/png"/>
  <Override PartName="/word/media/rId98.png" ContentType="image/png"/>
  <Override PartName="/word/media/rId89.png" ContentType="image/png"/>
  <Override PartName="/word/media/rId102.png" ContentType="image/png"/>
  <Override PartName="/word/media/rId106.png" ContentType="image/png"/>
  <Override PartName="/word/media/rId109.png" ContentType="image/png"/>
  <Override PartName="/word/media/rId79.png" ContentType="image/png"/>
  <Override PartName="/word/media/rId69.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Clone count distribution by disease stage.</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Clone size distribution by disease stage.</w:t>
      </w:r>
    </w:p>
    <w:p>
      <w:pPr>
        <w:pStyle w:val="BodyText"/>
      </w:pPr>
      <w:r>
        <w:rPr>
          <w:bCs/>
          <w:b/>
        </w:rPr>
        <w:t xml:space="preserve">Figure 4.</w:t>
      </w:r>
      <w:r>
        <w:t xml:space="preserve"> </w:t>
      </w:r>
      <w:r>
        <w:t xml:space="preserve">Clone size: copies versus unique sequences by disease stage.</w:t>
      </w:r>
    </w:p>
    <w:p>
      <w:pPr>
        <w:pStyle w:val="BodyText"/>
      </w:pPr>
      <w:r>
        <w:rPr>
          <w:bCs/>
          <w:b/>
        </w:rPr>
        <w:t xml:space="preserve">Figure 5.</w:t>
      </w:r>
      <w:r>
        <w:t xml:space="preserve"> </w:t>
      </w:r>
      <w:r>
        <w:t xml:space="preserve">Clonal concentration (Top X) by disease stage.</w:t>
      </w:r>
    </w:p>
    <w:p>
      <w:pPr>
        <w:pStyle w:val="BodyText"/>
      </w:pPr>
      <w:r>
        <w:rPr>
          <w:bCs/>
          <w:b/>
        </w:rPr>
        <w:t xml:space="preserve">Figure 6.</w:t>
      </w:r>
      <w:r>
        <w:t xml:space="preserve"> </w:t>
      </w:r>
      <w:r>
        <w:t xml:space="preserve">CDR3 length by clone size and disease stage (expanded vs. rest).</w:t>
      </w:r>
    </w:p>
    <w:p>
      <w:pPr>
        <w:pStyle w:val="BodyText"/>
      </w:pPr>
      <w:r>
        <w:rPr>
          <w:bCs/>
          <w:b/>
        </w:rPr>
        <w:t xml:space="preserve">Figure 7.</w:t>
      </w:r>
      <w:r>
        <w:t xml:space="preserve"> </w:t>
      </w:r>
      <w:r>
        <w:t xml:space="preserve">CDR3 length distribution: all clones and expanded clones by disease stage.</w:t>
      </w:r>
    </w:p>
    <w:p>
      <w:pPr>
        <w:pStyle w:val="BodyText"/>
      </w:pPr>
      <w:r>
        <w:rPr>
          <w:bCs/>
          <w:b/>
        </w:rPr>
        <w:t xml:space="preserve">Figure 8.</w:t>
      </w:r>
      <w:r>
        <w:t xml:space="preserve"> </w:t>
      </w:r>
      <w:r>
        <w:t xml:space="preserve">CDR3 length of top 10 clones by disease stage.</w:t>
      </w:r>
    </w:p>
    <w:p>
      <w:pPr>
        <w:pStyle w:val="BodyText"/>
      </w:pPr>
      <w:r>
        <w:rPr>
          <w:bCs/>
          <w:b/>
        </w:rPr>
        <w:t xml:space="preserve">Figure 9.</w:t>
      </w:r>
      <w:r>
        <w:t xml:space="preserve"> </w:t>
      </w:r>
      <w:r>
        <w:t xml:space="preserve">CDR3 length range of top 10 clones by disease stage.</w:t>
      </w:r>
    </w:p>
    <w:p>
      <w:pPr>
        <w:pStyle w:val="BodyText"/>
      </w:pPr>
      <w:r>
        <w:rPr>
          <w:bCs/>
          <w:b/>
        </w:rPr>
        <w:t xml:space="preserve">Figure 10.</w:t>
      </w:r>
      <w:r>
        <w:t xml:space="preserve"> </w:t>
      </w:r>
      <w:r>
        <w:t xml:space="preserve">NS/S ratios and mutation counts by disease stage (all clones and expanded vs. rest).</w:t>
      </w:r>
    </w:p>
    <w:p>
      <w:pPr>
        <w:pStyle w:val="BodyText"/>
      </w:pPr>
      <w:r>
        <w:rPr>
          <w:bCs/>
          <w:b/>
        </w:rPr>
        <w:t xml:space="preserve">Figure 11.</w:t>
      </w:r>
      <w:r>
        <w:t xml:space="preserve"> </w:t>
      </w:r>
      <w:r>
        <w:t xml:space="preserve">V gene usage heatmap by disease stage.</w:t>
      </w:r>
    </w:p>
    <w:p>
      <w:pPr>
        <w:pStyle w:val="BodyText"/>
      </w:pPr>
      <w:r>
        <w:rPr>
          <w:bCs/>
          <w:b/>
        </w:rPr>
        <w:t xml:space="preserve">Figure 12.</w:t>
      </w:r>
      <w:r>
        <w:t xml:space="preserve"> </w:t>
      </w:r>
      <w:r>
        <w:t xml:space="preserve">Clonal metrics versus age by disease stage.</w:t>
      </w:r>
    </w:p>
    <w:p>
      <w:pPr>
        <w:pStyle w:val="BodyText"/>
      </w:pPr>
      <w:r>
        <w:rPr>
          <w:bCs/>
          <w:b/>
        </w:rPr>
        <w:t xml:space="preserve">Figure 13.</w:t>
      </w:r>
      <w:r>
        <w:t xml:space="preserve"> </w:t>
      </w:r>
      <w:r>
        <w:t xml:space="preserve">Clonal metrics by gender and disease stage.</w:t>
      </w:r>
    </w:p>
    <w:p>
      <w:pPr>
        <w:pStyle w:val="BodyText"/>
      </w:pPr>
      <w:r>
        <w:rPr>
          <w:bCs/>
          <w:b/>
        </w:rPr>
        <w:t xml:space="preserve">Figure 14.</w:t>
      </w:r>
      <w:r>
        <w:t xml:space="preserve"> </w:t>
      </w:r>
      <w:r>
        <w:t xml:space="preserve">Mutation level in top 10 clones stratified by sex and disease stage.</w:t>
      </w:r>
    </w:p>
    <w:p>
      <w:pPr>
        <w:pStyle w:val="BodyText"/>
      </w:pPr>
      <w:r>
        <w:rPr>
          <w:bCs/>
          <w:b/>
        </w:rPr>
        <w:t xml:space="preserve">Figure 15.</w:t>
      </w:r>
      <w:r>
        <w:t xml:space="preserve"> </w:t>
      </w:r>
      <w:r>
        <w:t xml:space="preserve">CDR3 length in top 10 clones stratified by sex and disease stage.</w:t>
      </w:r>
    </w:p>
    <w:p>
      <w:pPr>
        <w:pStyle w:val="BodyText"/>
      </w:pPr>
      <w:r>
        <w:rPr>
          <w:bCs/>
          <w:b/>
        </w:rPr>
        <w:t xml:space="preserve">Figure 16.</w:t>
      </w:r>
      <w:r>
        <w:t xml:space="preserve"> </w:t>
      </w:r>
      <w:r>
        <w:t xml:space="preserve">Within-individual clone count across tissues.</w:t>
      </w:r>
    </w:p>
    <w:p>
      <w:pPr>
        <w:pStyle w:val="BodyText"/>
      </w:pPr>
      <w:r>
        <w:rPr>
          <w:bCs/>
          <w:b/>
        </w:rPr>
        <w:t xml:space="preserve">Figure 17.</w:t>
      </w:r>
      <w:r>
        <w:t xml:space="preserve"> </w:t>
      </w:r>
      <w:r>
        <w:t xml:space="preserve">Within-individual clone size across tissues.</w:t>
      </w:r>
    </w:p>
    <w:p>
      <w:pPr>
        <w:pStyle w:val="BodyText"/>
      </w:pPr>
      <w:r>
        <w:rPr>
          <w:bCs/>
          <w:b/>
        </w:rPr>
        <w:t xml:space="preserve">Figure 18.</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30"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3</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rPr>
          <w:bCs/>
          <w:b/>
        </w:rPr>
        <w:t xml:space="preserve">Clone count by disease stage.</w:t>
      </w:r>
      <w:r>
        <w:t xml:space="preserve"> </w:t>
      </w:r>
      <w:r>
        <w:t xml:space="preserve">IS-API’s clone_count endpoint returns the total number of unique clones per individual. The clone count distribution (</w:t>
      </w:r>
      <w:r>
        <w:rPr>
          <w:bCs/>
          <w:b/>
        </w:rPr>
        <w:t xml:space="preserve">Figure 2</w:t>
      </w:r>
      <w:r>
        <w:t xml:space="preserve">) revealed highly significant differences across disease categories (Kruskal-Wallis p &lt; 0.0001). Mild individuals had the fewest clones (median 2,228), while Recovered (median 22,177), Healthy (median 20,735), and COVID Naive (median 16,682) individuals had substantially higher clone counts. Severe (median 5,089) and Moderate (median 6,184) individuals fell between these extremes. The low clone counts in the Mild group, combined with the high variability spanning two orders of magnitude (from ~100 to ~6,000), suggest that Mild COVID-19 may be associated with more restricted repertoire sampling or reduced clonal diversity. The consistently high clone counts in Recovered, Healthy, and COVID Naive individuals indicate that these groups maintain broader repertoire diversity.</w:t>
      </w:r>
    </w:p>
    <w:p>
      <w:pPr>
        <w:pStyle w:val="CaptionedFigure"/>
      </w:pPr>
      <w:r>
        <w:drawing>
          <wp:inline>
            <wp:extent cx="5334000" cy="3371031"/>
            <wp:effectExtent b="0" l="0" r="0" t="0"/>
            <wp:docPr descr="Figure 1. Clone count distribution by disease stage. Total number of unique clones per individual (log scale) across six disease categories. Each dot represents one individual; boxplots show median and IQR. Kruskal-Wallis p-value annotated. Blood samples only." title="" id="70" name="Picture"/>
            <a:graphic>
              <a:graphicData uri="http://schemas.openxmlformats.org/drawingml/2006/picture">
                <pic:pic>
                  <pic:nvPicPr>
                    <pic:cNvPr descr="../immunedb_STATS_API/clonal_analysis/plots/27_clone_count_by_disease.png" id="71" name="Picture"/>
                    <pic:cNvPicPr>
                      <a:picLocks noChangeArrowheads="1" noChangeAspect="1"/>
                    </pic:cNvPicPr>
                  </pic:nvPicPr>
                  <pic:blipFill>
                    <a:blip r:embed="rId69"/>
                    <a:stretch>
                      <a:fillRect/>
                    </a:stretch>
                  </pic:blipFill>
                  <pic:spPr bwMode="auto">
                    <a:xfrm>
                      <a:off x="0" y="0"/>
                      <a:ext cx="5334000" cy="3371031"/>
                    </a:xfrm>
                    <a:prstGeom prst="rect">
                      <a:avLst/>
                    </a:prstGeom>
                    <a:noFill/>
                    <a:ln w="9525">
                      <a:noFill/>
                      <a:headEnd/>
                      <a:tailEnd/>
                    </a:ln>
                  </pic:spPr>
                </pic:pic>
              </a:graphicData>
            </a:graphic>
          </wp:inline>
        </w:drawing>
      </w:r>
    </w:p>
    <w:p>
      <w:pPr>
        <w:pStyle w:val="ImageCaption"/>
      </w:pPr>
      <w:r>
        <w:t xml:space="preserve">Figure 1. Clone count distribution by disease stage. Total number of unique clones per individual (log scale) across six disease categories. Each dot represents one individual; boxplots show median and IQR. Kruskal-Wallis p-value annotated. Blood samples only.</w:t>
      </w:r>
    </w:p>
    <w:p>
      <w:pPr>
        <w:pStyle w:val="BodyText"/>
      </w:pPr>
      <w:r>
        <w:rPr>
          <w:bCs/>
          <w:b/>
        </w:rPr>
        <w:t xml:space="preserve">Clonal diversity profiles.</w:t>
      </w:r>
      <w:r>
        <w:t xml:space="preserve"> </w:t>
      </w:r>
      <w:r>
        <w:t xml:space="preserve">To assess clonal diversity, we computed Hill numbers of orders 0 (richness), 1 (Shannon), and 2 (Simpson) from the clone size distribution of each individual. The diversity profiles (</w:t>
      </w:r>
      <w:r>
        <w:rPr>
          <w:bCs/>
          <w:b/>
        </w:rPr>
        <w:t xml:space="preserve">Figure 2</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8283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8283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85"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3</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79599"/>
            <wp:effectExtent b="0" l="0" r="0" t="0"/>
            <wp:docPr descr="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7" name="Picture"/>
            <a:graphic>
              <a:graphicData uri="http://schemas.openxmlformats.org/drawingml/2006/picture">
                <pic:pic>
                  <pic:nvPicPr>
                    <pic:cNvPr descr="../immunedb_STATS_API/clonal_analysis/plots/20_clone_size_distribution.png" id="78" name="Picture"/>
                    <pic:cNvPicPr>
                      <a:picLocks noChangeArrowheads="1" noChangeAspect="1"/>
                    </pic:cNvPicPr>
                  </pic:nvPicPr>
                  <pic:blipFill>
                    <a:blip r:embed="rId76"/>
                    <a:stretch>
                      <a:fillRect/>
                    </a:stretch>
                  </pic:blipFill>
                  <pic:spPr bwMode="auto">
                    <a:xfrm>
                      <a:off x="0" y="0"/>
                      <a:ext cx="5334000" cy="2379599"/>
                    </a:xfrm>
                    <a:prstGeom prst="rect">
                      <a:avLst/>
                    </a:prstGeom>
                    <a:noFill/>
                    <a:ln w="9525">
                      <a:noFill/>
                      <a:headEnd/>
                      <a:tailEnd/>
                    </a:ln>
                  </pic:spPr>
                </pic:pic>
              </a:graphicData>
            </a:graphic>
          </wp:inline>
        </w:drawing>
      </w:r>
    </w:p>
    <w:p>
      <w:pPr>
        <w:pStyle w:val="ImageCaption"/>
      </w:pPr>
      <w:r>
        <w:t xml:space="preserve">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4</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2609944"/>
            <wp:effectExtent b="0" l="0" r="0" t="0"/>
            <wp:docPr descr="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0" name="Picture"/>
            <a:graphic>
              <a:graphicData uri="http://schemas.openxmlformats.org/drawingml/2006/picture">
                <pic:pic>
                  <pic:nvPicPr>
                    <pic:cNvPr descr="../immunedb_STATS_API/clonal_analysis/plots/26_copies_vs_unique.png" id="81" name="Picture"/>
                    <pic:cNvPicPr>
                      <a:picLocks noChangeArrowheads="1" noChangeAspect="1"/>
                    </pic:cNvPicPr>
                  </pic:nvPicPr>
                  <pic:blipFill>
                    <a:blip r:embed="rId79"/>
                    <a:stretch>
                      <a:fillRect/>
                    </a:stretch>
                  </pic:blipFill>
                  <pic:spPr bwMode="auto">
                    <a:xfrm>
                      <a:off x="0" y="0"/>
                      <a:ext cx="5334000" cy="2609944"/>
                    </a:xfrm>
                    <a:prstGeom prst="rect">
                      <a:avLst/>
                    </a:prstGeom>
                    <a:noFill/>
                    <a:ln w="9525">
                      <a:noFill/>
                      <a:headEnd/>
                      <a:tailEnd/>
                    </a:ln>
                  </pic:spPr>
                </pic:pic>
              </a:graphicData>
            </a:graphic>
          </wp:inline>
        </w:drawing>
      </w:r>
    </w:p>
    <w:p>
      <w:pPr>
        <w:pStyle w:val="ImageCaption"/>
      </w:pPr>
      <w:r>
        <w:t xml:space="preserve">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5</w:t>
      </w:r>
      <w:r>
        <w:t xml:space="preserve">), revealing the degree of oligoclonal dominance in each disease category.</w:t>
      </w:r>
    </w:p>
    <w:p>
      <w:pPr>
        <w:pStyle w:val="CaptionedFigure"/>
      </w:pPr>
      <w:r>
        <w:drawing>
          <wp:inline>
            <wp:extent cx="5334000" cy="2051538"/>
            <wp:effectExtent b="0" l="0" r="0" t="0"/>
            <wp:docPr descr="Figure 5. Clonal concentration: fraction of total sequence copies accounted for by the top 10, top 100, and top 1000 clones per individual, shown as stacked bars by disease stage. Higher values indicate greater oligoclonal dominance. Each bar represents one individual." title="" id="83" name="Picture"/>
            <a:graphic>
              <a:graphicData uri="http://schemas.openxmlformats.org/drawingml/2006/picture">
                <pic:pic>
                  <pic:nvPicPr>
                    <pic:cNvPr descr="../immunedb_STATS_API/clonal_analysis/plots/02_topX_stacked_by_disease.png" id="84" name="Picture"/>
                    <pic:cNvPicPr>
                      <a:picLocks noChangeArrowheads="1" noChangeAspect="1"/>
                    </pic:cNvPicPr>
                  </pic:nvPicPr>
                  <pic:blipFill>
                    <a:blip r:embed="rId8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5. Clonal concentration: fraction of total sequence copies accounted for by the top 10, top 100, and top 1000 clones per individual, shown as stacked bars by disease stage. Higher values indicate greater oligoclonal dominance. Each bar represents one individual.</w:t>
      </w:r>
    </w:p>
    <w:bookmarkEnd w:id="85"/>
    <w:bookmarkStart w:id="101" w:name="cdr3-length-and-mutation-analysis"/>
    <w:p>
      <w:pPr>
        <w:pStyle w:val="Heading2"/>
      </w:pPr>
      <w:r>
        <w:rPr>
          <w:rStyle w:val="SectionNumber"/>
        </w:rPr>
        <w:t xml:space="preserve">7.4</w:t>
      </w:r>
      <w:r>
        <w:tab/>
      </w:r>
      <w:r>
        <w:t xml:space="preserve">CDR3 Length and Mutation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making it suitable for cross-group comparison — we next examined CDR3 length and somatic hypermutation patterns across disease categories. IS-API’s CDR3 and mutation endpoints enable analysis at multiple levels: all clones per individual, expanded versus non-expanded clones, and the top 10 most expanded clones.</w:t>
      </w:r>
    </w:p>
    <w:p>
      <w:pPr>
        <w:pStyle w:val="BodyText"/>
      </w:pPr>
      <w:r>
        <w:rPr>
          <w:bCs/>
          <w:b/>
        </w:rPr>
        <w:t xml:space="preserve">CDR3 length: expanded versus non-expanded clones.</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6</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7" name="Picture"/>
            <a:graphic>
              <a:graphicData uri="http://schemas.openxmlformats.org/drawingml/2006/picture">
                <pic:pic>
                  <pic:nvPicPr>
                    <pic:cNvPr descr="../immunedb_STATS_API/clonal_analysis/plots/09_cdr3_expanded_vs_rest.png" id="88" name="Picture"/>
                    <pic:cNvPicPr>
                      <a:picLocks noChangeArrowheads="1" noChangeAspect="1"/>
                    </pic:cNvPicPr>
                  </pic:nvPicPr>
                  <pic:blipFill>
                    <a:blip r:embed="rId86"/>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7</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p>
      <w:pPr>
        <w:pStyle w:val="CaptionedFigure"/>
      </w:pPr>
      <w:r>
        <w:drawing>
          <wp:inline>
            <wp:extent cx="5334000" cy="4174318"/>
            <wp:effectExtent b="0" l="0" r="0" t="0"/>
            <wp:docPr descr="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 title="" id="90" name="Picture"/>
            <a:graphic>
              <a:graphicData uri="http://schemas.openxmlformats.org/drawingml/2006/picture">
                <pic:pic>
                  <pic:nvPicPr>
                    <pic:cNvPr descr="../immunedb_STATS_API/clonal_analysis/plots/22_cdr3_length_distribution.png" id="91" name="Picture"/>
                    <pic:cNvPicPr>
                      <a:picLocks noChangeArrowheads="1" noChangeAspect="1"/>
                    </pic:cNvPicPr>
                  </pic:nvPicPr>
                  <pic:blipFill>
                    <a:blip r:embed="rId89"/>
                    <a:stretch>
                      <a:fillRect/>
                    </a:stretch>
                  </pic:blipFill>
                  <pic:spPr bwMode="auto">
                    <a:xfrm>
                      <a:off x="0" y="0"/>
                      <a:ext cx="5334000" cy="4174318"/>
                    </a:xfrm>
                    <a:prstGeom prst="rect">
                      <a:avLst/>
                    </a:prstGeom>
                    <a:noFill/>
                    <a:ln w="9525">
                      <a:noFill/>
                      <a:headEnd/>
                      <a:tailEnd/>
                    </a:ln>
                  </pic:spPr>
                </pic:pic>
              </a:graphicData>
            </a:graphic>
          </wp:inline>
        </w:drawing>
      </w:r>
    </w:p>
    <w:p>
      <w:pPr>
        <w:pStyle w:val="ImageCaption"/>
      </w:pPr>
      <w:r>
        <w:t xml:space="preserve">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p>
      <w:pPr>
        <w:pStyle w:val="BodyText"/>
      </w:pPr>
      <w:r>
        <w:rPr>
          <w:bCs/>
          <w:b/>
        </w:rPr>
        <w:t xml:space="preserve">CDR3 length in the top 10 clones.</w:t>
      </w:r>
      <w:r>
        <w:t xml:space="preserve"> </w:t>
      </w:r>
      <w:r>
        <w:t xml:space="preserve">Focusing on the most expanded clones per individual, the CDR3 endpoint returned the average CDR3 length (in amino acids) of the top 10 clones (</w:t>
      </w:r>
      <w:r>
        <w:rPr>
          <w:bCs/>
          <w:b/>
        </w:rPr>
        <w:t xml:space="preserve">Figure 8</w:t>
      </w:r>
      <w:r>
        <w:t xml:space="preserve">), along with the range of CDR3 lengths (</w:t>
      </w:r>
      <w:r>
        <w:rPr>
          <w:bCs/>
          <w:b/>
        </w:rPr>
        <w:t xml:space="preserve">Figure 9</w:t>
      </w:r>
      <w:r>
        <w:t xml:space="preserve">). These figures characterize the antigen-binding loop properties of the most dominant clones across disease categories.</w:t>
      </w:r>
    </w:p>
    <w:p>
      <w:pPr>
        <w:pStyle w:val="CaptionedFigure"/>
      </w:pPr>
      <w:r>
        <w:drawing>
          <wp:inline>
            <wp:extent cx="5334000" cy="3333750"/>
            <wp:effectExtent b="0" l="0" r="0" t="0"/>
            <wp:docPr descr="Figure 8. Mean CDR3 amino acid length of the top 10 clones per individual, grouped by disease stage. Each dot represents one individual; boxplots show median and IQR. CDR3 length reflects the antigen-binding loop size of the most expanded clones." title="" id="93" name="Picture"/>
            <a:graphic>
              <a:graphicData uri="http://schemas.openxmlformats.org/drawingml/2006/picture">
                <pic:pic>
                  <pic:nvPicPr>
                    <pic:cNvPr descr="../immunedb_STATS_API/clonal_analysis/plots/03_cdr3_by_disease.png" id="94" name="Picture"/>
                    <pic:cNvPicPr>
                      <a:picLocks noChangeArrowheads="1" noChangeAspect="1"/>
                    </pic:cNvPicPr>
                  </pic:nvPicPr>
                  <pic:blipFill>
                    <a:blip r:embed="rId9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8.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9. CDR3 length range (max minus min amino acid length) of the top 10 clones per individual, grouped by disease stage. Larger ranges indicate greater CDR3 structural heterogeneity among the dominant clones." title="" id="96" name="Picture"/>
            <a:graphic>
              <a:graphicData uri="http://schemas.openxmlformats.org/drawingml/2006/picture">
                <pic:pic>
                  <pic:nvPicPr>
                    <pic:cNvPr descr="../immunedb_STATS_API/clonal_analysis/plots/04_cdr3_range_by_disease.png" id="97" name="Picture"/>
                    <pic:cNvPicPr>
                      <a:picLocks noChangeArrowheads="1" noChangeAspect="1"/>
                    </pic:cNvPicPr>
                  </pic:nvPicPr>
                  <pic:blipFill>
                    <a:blip r:embed="rId9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Selection pressure and mutation profile (NS/S ratios).</w:t>
      </w:r>
      <w:r>
        <w:t xml:space="preserve"> </w:t>
      </w:r>
      <w:r>
        <w:t xml:space="preserve">To analyze selection pressure and mutation burden, we computed NS/S ratios separately for CDR and framework (FW) regions across all clones and stratified by clone expansion status (</w:t>
      </w:r>
      <w:r>
        <w:rPr>
          <w:bCs/>
          <w:b/>
        </w:rPr>
        <w:t xml:space="preserve">Figure 10</w:t>
      </w:r>
      <w:r>
        <w:t xml:space="preserve">).</w:t>
      </w:r>
    </w:p>
    <w:p>
      <w:pPr>
        <w:pStyle w:val="CaptionedFigure"/>
      </w:pPr>
      <w:r>
        <w:drawing>
          <wp:inline>
            <wp:extent cx="5334000" cy="3073830"/>
            <wp:effectExtent b="0" l="0" r="0" t="0"/>
            <wp:docPr descr="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 title="" id="99" name="Picture"/>
            <a:graphic>
              <a:graphicData uri="http://schemas.openxmlformats.org/drawingml/2006/picture">
                <pic:pic>
                  <pic:nvPicPr>
                    <pic:cNvPr descr="../immunedb_STATS_API/clonal_analysis/plots/21_mutations_rs_ratio.png" id="100" name="Picture"/>
                    <pic:cNvPicPr>
                      <a:picLocks noChangeArrowheads="1" noChangeAspect="1"/>
                    </pic:cNvPicPr>
                  </pic:nvPicPr>
                  <pic:blipFill>
                    <a:blip r:embed="rId98"/>
                    <a:stretch>
                      <a:fillRect/>
                    </a:stretch>
                  </pic:blipFill>
                  <pic:spPr bwMode="auto">
                    <a:xfrm>
                      <a:off x="0" y="0"/>
                      <a:ext cx="5334000" cy="3073830"/>
                    </a:xfrm>
                    <a:prstGeom prst="rect">
                      <a:avLst/>
                    </a:prstGeom>
                    <a:noFill/>
                    <a:ln w="9525">
                      <a:noFill/>
                      <a:headEnd/>
                      <a:tailEnd/>
                    </a:ln>
                  </pic:spPr>
                </pic:pic>
              </a:graphicData>
            </a:graphic>
          </wp:inline>
        </w:drawing>
      </w:r>
    </w:p>
    <w:p>
      <w:pPr>
        <w:pStyle w:val="ImageCaption"/>
      </w:pPr>
      <w:r>
        <w:t xml:space="preserve">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w:t>
      </w:r>
    </w:p>
    <w:p>
      <w:pPr>
        <w:pStyle w:val="BodyText"/>
      </w:pPr>
      <w:r>
        <w:t xml:space="preserve">Across all clones (Panels A–C), CDR NS/S ratios were consistently above 1.0 in all disease categories, confirming positive selection in antigen-binding regions. The Kruskal-Wallis test revealed significant differences across groups (p &lt; 0.0001): Mild, Recovered, and COVID Naive individuals had higher median CDR NS/S ratios (~3.0–3.2), suggesting stronger positive selection, while Severe (2.66) and Moderate (2.03) cases showed lower ratios. FW NS/S ratios (Panel B) were markedly lower than CDR ratios (~1.4–1.6) and did not differ significantly across disease categories (p = 0.92), consistent with purifying selection maintaining framework structural integrity. The shared y-axis scale between Panels A and B makes this CDR–FW contrast immediately apparent.</w:t>
      </w:r>
    </w:p>
    <w:p>
      <w:pPr>
        <w:pStyle w:val="BodyText"/>
      </w:pPr>
      <w:r>
        <w:t xml:space="preserve">When stratified by clone expansion status (Panels D–F), expanded clones showed lower CDR NS/S ratios than non-expanded clones in disease groups (e.g., Moderate expanded: 1.33 vs. rest: ~3.0), while maintaining higher FW NS/S ratios (Moderate expanded: 1.91 vs. rest: ~1.6). This pattern suggests that expanded clones accumulate proportionally more synonymous mutations in CDR regions — possibly reflecting ongoing somatic hypermutation — while their framework regions tolerate more replacement mutations than non-expanded clones. Panels C and F show that expanded clones carry substantially higher absolute mutation counts (10–60 average mutations) compared to non-expanded clones (2–8), confirming extensive somatic hypermutation in clonally expanded populations across all disease stages.</w:t>
      </w:r>
    </w:p>
    <w:bookmarkEnd w:id="101"/>
    <w:bookmarkStart w:id="105" w:name="v-gene-usage"/>
    <w:p>
      <w:pPr>
        <w:pStyle w:val="Heading2"/>
      </w:pPr>
      <w:r>
        <w:rPr>
          <w:rStyle w:val="SectionNumber"/>
        </w:rPr>
        <w:t xml:space="preserve">7.5</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11</w:t>
      </w:r>
      <w:r>
        <w:t xml:space="preserve">).</w:t>
      </w:r>
    </w:p>
    <w:p>
      <w:pPr>
        <w:pStyle w:val="CaptionedFigure"/>
      </w:pPr>
      <w:r>
        <w:drawing>
          <wp:inline>
            <wp:extent cx="5334000" cy="3427007"/>
            <wp:effectExtent b="0" l="0" r="0" t="0"/>
            <wp:docPr descr="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03" name="Picture"/>
            <a:graphic>
              <a:graphicData uri="http://schemas.openxmlformats.org/drawingml/2006/picture">
                <pic:pic>
                  <pic:nvPicPr>
                    <pic:cNvPr descr="../immunedb_STATS_API/clonal_analysis/plots/23_v_gene_usage_heatmap.png" id="104" name="Picture"/>
                    <pic:cNvPicPr>
                      <a:picLocks noChangeArrowheads="1" noChangeAspect="1"/>
                    </pic:cNvPicPr>
                  </pic:nvPicPr>
                  <pic:blipFill>
                    <a:blip r:embed="rId102"/>
                    <a:stretch>
                      <a:fillRect/>
                    </a:stretch>
                  </pic:blipFill>
                  <pic:spPr bwMode="auto">
                    <a:xfrm>
                      <a:off x="0" y="0"/>
                      <a:ext cx="5334000" cy="3427007"/>
                    </a:xfrm>
                    <a:prstGeom prst="rect">
                      <a:avLst/>
                    </a:prstGeom>
                    <a:noFill/>
                    <a:ln w="9525">
                      <a:noFill/>
                      <a:headEnd/>
                      <a:tailEnd/>
                    </a:ln>
                  </pic:spPr>
                </pic:pic>
              </a:graphicData>
            </a:graphic>
          </wp:inline>
        </w:drawing>
      </w:r>
    </w:p>
    <w:p>
      <w:pPr>
        <w:pStyle w:val="ImageCaption"/>
      </w:pPr>
      <w:r>
        <w:t xml:space="preserve">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05"/>
    <w:bookmarkStart w:id="112" w:name="age-and-gender-as-potential-confounders"/>
    <w:p>
      <w:pPr>
        <w:pStyle w:val="Heading2"/>
      </w:pPr>
      <w:r>
        <w:rPr>
          <w:rStyle w:val="SectionNumber"/>
        </w:rPr>
        <w:t xml:space="preserve">7.6</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800991"/>
            <wp:effectExtent b="0" l="0" r="0" t="0"/>
            <wp:docPr descr="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07" name="Picture"/>
            <a:graphic>
              <a:graphicData uri="http://schemas.openxmlformats.org/drawingml/2006/picture">
                <pic:pic>
                  <pic:nvPicPr>
                    <pic:cNvPr descr="../immunedb_STATS_API/clonal_analysis/plots/24_metrics_vs_age.png" id="108" name="Picture"/>
                    <pic:cNvPicPr>
                      <a:picLocks noChangeArrowheads="1" noChangeAspect="1"/>
                    </pic:cNvPicPr>
                  </pic:nvPicPr>
                  <pic:blipFill>
                    <a:blip r:embed="rId106"/>
                    <a:stretch>
                      <a:fillRect/>
                    </a:stretch>
                  </pic:blipFill>
                  <pic:spPr bwMode="auto">
                    <a:xfrm>
                      <a:off x="0" y="0"/>
                      <a:ext cx="5334000" cy="1800991"/>
                    </a:xfrm>
                    <a:prstGeom prst="rect">
                      <a:avLst/>
                    </a:prstGeom>
                    <a:noFill/>
                    <a:ln w="9525">
                      <a:noFill/>
                      <a:headEnd/>
                      <a:tailEnd/>
                    </a:ln>
                  </pic:spPr>
                </pic:pic>
              </a:graphicData>
            </a:graphic>
          </wp:inline>
        </w:drawing>
      </w:r>
    </w:p>
    <w:p>
      <w:pPr>
        <w:pStyle w:val="ImageCaption"/>
      </w:pPr>
      <w:r>
        <w:t xml:space="preserve">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12</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800759"/>
            <wp:effectExtent b="0" l="0" r="0" t="0"/>
            <wp:docPr descr="Figure 13. Clonal metrics by gender and disease stage. Panel A: clone count (log scale). Panel B: mean CDR3 length. Panel C: CDR NS/S ratio. Boxplots compare male and female individuals within each disease category." title="" id="110" name="Picture"/>
            <a:graphic>
              <a:graphicData uri="http://schemas.openxmlformats.org/drawingml/2006/picture">
                <pic:pic>
                  <pic:nvPicPr>
                    <pic:cNvPr descr="../immunedb_STATS_API/clonal_analysis/plots/25_metrics_vs_gender.png" id="111" name="Picture"/>
                    <pic:cNvPicPr>
                      <a:picLocks noChangeArrowheads="1" noChangeAspect="1"/>
                    </pic:cNvPicPr>
                  </pic:nvPicPr>
                  <pic:blipFill>
                    <a:blip r:embed="rId109"/>
                    <a:stretch>
                      <a:fillRect/>
                    </a:stretch>
                  </pic:blipFill>
                  <pic:spPr bwMode="auto">
                    <a:xfrm>
                      <a:off x="0" y="0"/>
                      <a:ext cx="5334000" cy="1800759"/>
                    </a:xfrm>
                    <a:prstGeom prst="rect">
                      <a:avLst/>
                    </a:prstGeom>
                    <a:noFill/>
                    <a:ln w="9525">
                      <a:noFill/>
                      <a:headEnd/>
                      <a:tailEnd/>
                    </a:ln>
                  </pic:spPr>
                </pic:pic>
              </a:graphicData>
            </a:graphic>
          </wp:inline>
        </w:drawing>
      </w:r>
    </w:p>
    <w:p>
      <w:pPr>
        <w:pStyle w:val="ImageCaption"/>
      </w:pPr>
      <w:r>
        <w:t xml:space="preserve">Figure 13.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13</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12"/>
    <w:bookmarkStart w:id="119" w:name="sex-stratified-analysis"/>
    <w:p>
      <w:pPr>
        <w:pStyle w:val="Heading2"/>
      </w:pPr>
      <w:r>
        <w:rPr>
          <w:rStyle w:val="SectionNumber"/>
        </w:rPr>
        <w:t xml:space="preserve">7.7</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14</w:t>
      </w:r>
      <w:r>
        <w:t xml:space="preserve">) and CDR3 lengths (</w:t>
      </w:r>
      <w:r>
        <w:rPr>
          <w:bCs/>
          <w:b/>
        </w:rPr>
        <w:t xml:space="preserve">Figure 15</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4. Mutation level in top 10 clones stratified by sex and disease stage. Male and female individuals compared within each disease category. Demonstrates IS-API’s ability to perform intersectional queries across multiple metadata dimensions in a single API call." title="" id="114" name="Picture"/>
            <a:graphic>
              <a:graphicData uri="http://schemas.openxmlformats.org/drawingml/2006/picture">
                <pic:pic>
                  <pic:nvPicPr>
                    <pic:cNvPr descr="../immunedb_STATS_API/clonal_analysis/plots/12_mutation_top10_by_sex_disease.png" id="115" name="Picture"/>
                    <pic:cNvPicPr>
                      <a:picLocks noChangeArrowheads="1" noChangeAspect="1"/>
                    </pic:cNvPicPr>
                  </pic:nvPicPr>
                  <pic:blipFill>
                    <a:blip r:embed="rId11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14.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5. CDR3 length in top 10 clones stratified by sex and disease stage. Mean CDR3 amino acid length of the top 10 clones per individual, grouped by sex within each disease category." title="" id="117" name="Picture"/>
            <a:graphic>
              <a:graphicData uri="http://schemas.openxmlformats.org/drawingml/2006/picture">
                <pic:pic>
                  <pic:nvPicPr>
                    <pic:cNvPr descr="../immunedb_STATS_API/clonal_analysis/plots/13_cdr3_top10_by_sex_disease.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CDR3 length in top 10 clones stratified by sex and disease stage. Mean CDR3 amino acid length of the top 10 clones per individual, grouped by sex within each disease category.</w:t>
      </w:r>
    </w:p>
    <w:bookmarkEnd w:id="119"/>
    <w:bookmarkStart w:id="129" w:name="within-individual-cross-tissue-analysis"/>
    <w:p>
      <w:pPr>
        <w:pStyle w:val="Heading2"/>
      </w:pPr>
      <w:r>
        <w:rPr>
          <w:rStyle w:val="SectionNumber"/>
        </w:rPr>
        <w:t xml:space="preserve">7.8</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16</w:t>
      </w:r>
      <w:r>
        <w:t xml:space="preserve">), clone sizes (</w:t>
      </w:r>
      <w:r>
        <w:rPr>
          <w:bCs/>
          <w:b/>
        </w:rPr>
        <w:t xml:space="preserve">Figure 17</w:t>
      </w:r>
      <w:r>
        <w:t xml:space="preserve">), and paired tissue measurements (</w:t>
      </w:r>
      <w:r>
        <w:rPr>
          <w:bCs/>
          <w:b/>
        </w:rPr>
        <w:t xml:space="preserve">Figure 18</w:t>
      </w:r>
      <w:r>
        <w:t xml:space="preserve">) within the same individual.</w:t>
      </w:r>
    </w:p>
    <w:p>
      <w:pPr>
        <w:pStyle w:val="CaptionedFigure"/>
      </w:pPr>
      <w:r>
        <w:drawing>
          <wp:inline>
            <wp:extent cx="5334000" cy="3440803"/>
            <wp:effectExtent b="0" l="0" r="0" t="0"/>
            <wp:docPr descr="Figure 16. Within-individual clone count across tissues. For individuals with samples from multiple tissues (e.g., blood and bone marrow in HC1, blood and lung in CD1), clone counts are compared across tissue types within the same individual." title="" id="121" name="Picture"/>
            <a:graphic>
              <a:graphicData uri="http://schemas.openxmlformats.org/drawingml/2006/picture">
                <pic:pic>
                  <pic:nvPicPr>
                    <pic:cNvPr descr="../immunedb_STATS_API/clonal_analysis/plots/14_within_subject_clone_count.png" id="122" name="Picture"/>
                    <pic:cNvPicPr>
                      <a:picLocks noChangeArrowheads="1" noChangeAspect="1"/>
                    </pic:cNvPicPr>
                  </pic:nvPicPr>
                  <pic:blipFill>
                    <a:blip r:embed="rId120"/>
                    <a:stretch>
                      <a:fillRect/>
                    </a:stretch>
                  </pic:blipFill>
                  <pic:spPr bwMode="auto">
                    <a:xfrm>
                      <a:off x="0" y="0"/>
                      <a:ext cx="5334000" cy="3440803"/>
                    </a:xfrm>
                    <a:prstGeom prst="rect">
                      <a:avLst/>
                    </a:prstGeom>
                    <a:noFill/>
                    <a:ln w="9525">
                      <a:noFill/>
                      <a:headEnd/>
                      <a:tailEnd/>
                    </a:ln>
                  </pic:spPr>
                </pic:pic>
              </a:graphicData>
            </a:graphic>
          </wp:inline>
        </w:drawing>
      </w:r>
    </w:p>
    <w:p>
      <w:pPr>
        <w:pStyle w:val="ImageCaption"/>
      </w:pPr>
      <w:r>
        <w:t xml:space="preserve">Figure 16.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571702"/>
            <wp:effectExtent b="0" l="0" r="0" t="0"/>
            <wp:docPr descr="Figure 17. Within-individual clone size across tissues. Clone size distributions compared between different tissue types within the same individual across studies." title="" id="124" name="Picture"/>
            <a:graphic>
              <a:graphicData uri="http://schemas.openxmlformats.org/drawingml/2006/picture">
                <pic:pic>
                  <pic:nvPicPr>
                    <pic:cNvPr descr="../immunedb_STATS_API/clonal_analysis/plots/15_within_subject_clone_size_cross_study.png" id="125" name="Picture"/>
                    <pic:cNvPicPr>
                      <a:picLocks noChangeArrowheads="1" noChangeAspect="1"/>
                    </pic:cNvPicPr>
                  </pic:nvPicPr>
                  <pic:blipFill>
                    <a:blip r:embed="rId123"/>
                    <a:stretch>
                      <a:fillRect/>
                    </a:stretch>
                  </pic:blipFill>
                  <pic:spPr bwMode="auto">
                    <a:xfrm>
                      <a:off x="0" y="0"/>
                      <a:ext cx="5334000" cy="2571702"/>
                    </a:xfrm>
                    <a:prstGeom prst="rect">
                      <a:avLst/>
                    </a:prstGeom>
                    <a:noFill/>
                    <a:ln w="9525">
                      <a:noFill/>
                      <a:headEnd/>
                      <a:tailEnd/>
                    </a:ln>
                  </pic:spPr>
                </pic:pic>
              </a:graphicData>
            </a:graphic>
          </wp:inline>
        </w:drawing>
      </w:r>
    </w:p>
    <w:p>
      <w:pPr>
        <w:pStyle w:val="ImageCaption"/>
      </w:pPr>
      <w:r>
        <w:t xml:space="preserve">Figure 17.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18. Within-individual tissue comparison using paired line plots. Lines connect measurements from different tissues within the same individual, illustrating tissue-specific repertoire differences. Each line represents one individual sampled from multiple tissues." title="" id="127" name="Picture"/>
            <a:graphic>
              <a:graphicData uri="http://schemas.openxmlformats.org/drawingml/2006/picture">
                <pic:pic>
                  <pic:nvPicPr>
                    <pic:cNvPr descr="../immunedb_STATS_API/clonal_analysis/plots/16_within_subject_tissue_lines.png" id="128" name="Picture"/>
                    <pic:cNvPicPr>
                      <a:picLocks noChangeArrowheads="1" noChangeAspect="1"/>
                    </pic:cNvPicPr>
                  </pic:nvPicPr>
                  <pic:blipFill>
                    <a:blip r:embed="rId12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18.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29"/>
    <w:bookmarkEnd w:id="130"/>
    <w:bookmarkStart w:id="135" w:name="discussion-and-conclusions"/>
    <w:p>
      <w:pPr>
        <w:pStyle w:val="Heading1"/>
      </w:pPr>
      <w:r>
        <w:rPr>
          <w:rStyle w:val="SectionNumber"/>
        </w:rPr>
        <w:t xml:space="preserve">8</w:t>
      </w:r>
      <w:r>
        <w:tab/>
      </w:r>
      <w:r>
        <w:t xml:space="preserve">Discussion and Conclusions</w:t>
      </w:r>
    </w:p>
    <w:bookmarkStart w:id="131"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31"/>
    <w:bookmarkStart w:id="132"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32"/>
    <w:bookmarkStart w:id="133"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33"/>
    <w:bookmarkStart w:id="134"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34"/>
    <w:bookmarkEnd w:id="135"/>
    <w:bookmarkStart w:id="136"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6" Target="media/rId8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79" Target="media/rId79.png" /><Relationship Type="http://schemas.openxmlformats.org/officeDocument/2006/relationships/image" Id="rId69" Target="media/rId6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2026-09-06T10:35:16Z</dcterms:created>
  <dcterms:modified xsi:type="dcterms:W3CDTF">2026-09-06T10:35:16Z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