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76.png" ContentType="image/png"/>
  <Override PartName="/word/media/rId73.png" ContentType="image/png"/>
  <Override PartName="/word/media/rId79.png" ContentType="image/png"/>
  <Override PartName="/word/media/rId103.png" ContentType="image/png"/>
  <Override PartName="/word/media/rId106.png" ContentType="image/png"/>
  <Override PartName="/word/media/rId110.png" ContentType="image/png"/>
  <Override PartName="/word/media/rId113.png" ContentType="image/png"/>
  <Override PartName="/word/media/rId116.png" ContentType="image/png"/>
  <Override PartName="/word/media/rId122.png" ContentType="image/png"/>
  <Override PartName="/word/media/rId125.png" ContentType="image/png"/>
  <Override PartName="/word/media/rId129.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1.png" ContentType="image/png"/>
  <Override PartName="/word/media/rId54.png" ContentType="image/png"/>
  <Override PartName="/word/media/rId57.png" ContentType="image/png"/>
  <Override PartName="/word/media/rId66.png" ContentType="image/png"/>
  <Override PartName="/word/media/rId60.png" ContentType="image/png"/>
  <Override PartName="/word/media/rId63.png" ContentType="image/png"/>
  <Override PartName="/word/media/rId51.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6"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Number of subjects per disease category (after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4"/>
    <w:bookmarkStart w:id="25"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5"/>
    <w:bookmarkEnd w:id="26"/>
    <w:bookmarkStart w:id="31" w:name="introduction"/>
    <w:p>
      <w:pPr>
        <w:pStyle w:val="Heading1"/>
      </w:pPr>
      <w:r>
        <w:t xml:space="preserve">Introduction</w:t>
      </w:r>
    </w:p>
    <w:bookmarkStart w:id="27"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7"/>
    <w:bookmarkStart w:id="28"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8"/>
    <w:bookmarkStart w:id="29"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9"/>
    <w:bookmarkStart w:id="30"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30"/>
    <w:bookmarkEnd w:id="31"/>
    <w:bookmarkStart w:id="32"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2"/>
    <w:bookmarkStart w:id="50" w:name="materials-and-methods"/>
    <w:p>
      <w:pPr>
        <w:pStyle w:val="Heading1"/>
      </w:pPr>
      <w:r>
        <w:t xml:space="preserve">Materials and Methods</w:t>
      </w:r>
    </w:p>
    <w:bookmarkStart w:id="33"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3"/>
    <w:bookmarkStart w:id="34"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4"/>
    <w:bookmarkStart w:id="35"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3"/>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3"/>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3"/>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3"/>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3"/>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3"/>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4"/>
        </w:numPr>
        <w:pStyle w:val="Compact"/>
      </w:pPr>
      <w:r>
        <w:rPr>
          <w:bCs/>
          <w:b/>
        </w:rPr>
        <w:t xml:space="preserve">repertoires</w:t>
      </w:r>
      <w:r>
        <w:t xml:space="preserve">: specifies the metadata filters (e.g., disease_stage, tissue, sex, age)</w:t>
      </w:r>
    </w:p>
    <w:p>
      <w:pPr>
        <w:numPr>
          <w:ilvl w:val="0"/>
          <w:numId w:val="1004"/>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5"/>
        </w:numPr>
        <w:pStyle w:val="Compact"/>
      </w:pPr>
      <w:r>
        <w:rPr>
          <w:bCs/>
          <w:b/>
        </w:rPr>
        <w:t xml:space="preserve">Info</w:t>
      </w:r>
      <w:r>
        <w:t xml:space="preserve">: project information (title, version, contacts)</w:t>
      </w:r>
    </w:p>
    <w:p>
      <w:pPr>
        <w:numPr>
          <w:ilvl w:val="0"/>
          <w:numId w:val="1005"/>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5"/>
    <w:bookmarkStart w:id="4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6"/>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6"/>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6"/>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7"/>
        </w:numPr>
        <w:pStyle w:val="Compact"/>
      </w:pPr>
      <w:r>
        <w:rPr>
          <w:iCs/>
          <w:i/>
        </w:rPr>
        <w:t xml:space="preserve">topX_mutation_level</w:t>
      </w:r>
      <w:r>
        <w:t xml:space="preserve">: Average mutation count across the top clones per individual.</w:t>
      </w:r>
    </w:p>
    <w:p>
      <w:pPr>
        <w:numPr>
          <w:ilvl w:val="0"/>
          <w:numId w:val="1007"/>
        </w:numPr>
        <w:pStyle w:val="Compact"/>
      </w:pPr>
      <w:r>
        <w:rPr>
          <w:iCs/>
          <w:i/>
        </w:rPr>
        <w:t xml:space="preserve">mutation_by_region</w:t>
      </w:r>
      <w:r>
        <w:t xml:space="preserve">: Mutation counts split by CDR versus framework regions.</w:t>
      </w:r>
    </w:p>
    <w:p>
      <w:pPr>
        <w:numPr>
          <w:ilvl w:val="0"/>
          <w:numId w:val="1007"/>
        </w:numPr>
        <w:pStyle w:val="Compact"/>
      </w:pPr>
      <w:r>
        <w:rPr>
          <w:iCs/>
          <w:i/>
        </w:rPr>
        <w:t xml:space="preserve">mutation_by_type</w:t>
      </w:r>
      <w:r>
        <w:t xml:space="preserve">: Replacement versus silent mutation counts.</w:t>
      </w:r>
    </w:p>
    <w:p>
      <w:pPr>
        <w:numPr>
          <w:ilvl w:val="0"/>
          <w:numId w:val="1007"/>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8"/>
        </w:numPr>
        <w:pStyle w:val="Compact"/>
      </w:pPr>
      <w:r>
        <w:rPr>
          <w:iCs/>
          <w:i/>
        </w:rPr>
        <w:t xml:space="preserve">topX_nt_AVG_CDR3_length</w:t>
      </w:r>
      <w:r>
        <w:t xml:space="preserve">: Average CDR3 nucleotide length for the top 10, 100, and 1000 clones per individual.</w:t>
      </w:r>
    </w:p>
    <w:p>
      <w:pPr>
        <w:numPr>
          <w:ilvl w:val="0"/>
          <w:numId w:val="1008"/>
        </w:numPr>
        <w:pStyle w:val="Compact"/>
      </w:pPr>
      <w:r>
        <w:rPr>
          <w:iCs/>
          <w:i/>
        </w:rPr>
        <w:t xml:space="preserve">topX_AA_AVG_CDR3_length</w:t>
      </w:r>
      <w:r>
        <w:t xml:space="preserve">: Average CDR3 amino acid length for the top 10, 100, and 1000 clones per individual.</w:t>
      </w:r>
    </w:p>
    <w:p>
      <w:pPr>
        <w:numPr>
          <w:ilvl w:val="0"/>
          <w:numId w:val="1008"/>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9"/>
        </w:numPr>
        <w:pStyle w:val="Compact"/>
      </w:pPr>
      <w:r>
        <w:rPr>
          <w:iCs/>
          <w:i/>
        </w:rPr>
        <w:t xml:space="preserve">v_gene_usage</w:t>
      </w:r>
      <w:r>
        <w:t xml:space="preserve">: Clone count and total copies per V gene per individual.</w:t>
      </w:r>
    </w:p>
    <w:bookmarkEnd w:id="46"/>
    <w:bookmarkStart w:id="4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0"/>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10"/>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0"/>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 [12].</w:t>
      </w:r>
    </w:p>
    <w:p>
      <w:pPr>
        <w:numPr>
          <w:ilvl w:val="0"/>
          <w:numId w:val="1010"/>
        </w:numPr>
      </w:pPr>
      <w:r>
        <w:rPr>
          <w:bCs/>
          <w:b/>
        </w:rPr>
        <w:t xml:space="preserve">CDR3 length</w:t>
      </w:r>
      <w:r>
        <w:t xml:space="preserve">: Mean and standard deviation of CDR3 amino acid length across all clones per individual.</w:t>
      </w:r>
    </w:p>
    <w:p>
      <w:pPr>
        <w:numPr>
          <w:ilvl w:val="0"/>
          <w:numId w:val="1010"/>
        </w:numPr>
      </w:pPr>
      <w:r>
        <w:rPr>
          <w:bCs/>
          <w:b/>
        </w:rPr>
        <w:t xml:space="preserve">V gene usage</w:t>
      </w:r>
      <w:r>
        <w:t xml:space="preserve">: Frequency of each V gene across individuals, filtered to V genes present at 1% or higher frequency in at least 85% of individuals.</w:t>
      </w:r>
    </w:p>
    <w:bookmarkEnd w:id="47"/>
    <w:bookmarkStart w:id="4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8"/>
    <w:bookmarkStart w:id="4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9"/>
    <w:bookmarkEnd w:id="50"/>
    <w:bookmarkStart w:id="156" w:name="results"/>
    <w:p>
      <w:pPr>
        <w:pStyle w:val="Heading1"/>
      </w:pPr>
      <w:r>
        <w:t xml:space="preserve">Results</w:t>
      </w:r>
    </w:p>
    <w:bookmarkStart w:id="121"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69"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number of subjects per dataset and sequencing depth per subject." title="" id="52" name="Picture"/>
            <a:graphic>
              <a:graphicData uri="http://schemas.openxmlformats.org/drawingml/2006/picture">
                <pic:pic>
                  <pic:nvPicPr>
                    <pic:cNvPr descr="../immunedb_STATS_API/metadata/plots/06_sampling_depth.png" id="53" name="Picture"/>
                    <pic:cNvPicPr>
                      <a:picLocks noChangeArrowheads="1" noChangeAspect="1"/>
                    </pic:cNvPicPr>
                  </pic:nvPicPr>
                  <pic:blipFill>
                    <a:blip r:embed="rId51"/>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number of subjects per dataset and sequencing depth per subject.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title="" id="55" name="Picture"/>
            <a:graphic>
              <a:graphicData uri="http://schemas.openxmlformats.org/drawingml/2006/picture">
                <pic:pic>
                  <pic:nvPicPr>
                    <pic:cNvPr descr="../immunedb_STATS_API/metadata/plots/00_metadata_per_dataset.png" id="56" name="Picture"/>
                    <pic:cNvPicPr>
                      <a:picLocks noChangeArrowheads="1" noChangeAspect="1"/>
                    </pic:cNvPicPr>
                  </pic:nvPicPr>
                  <pic:blipFill>
                    <a:blip r:embed="rId54"/>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394363"/>
            <wp:effectExtent b="0" l="0" r="0" t="0"/>
            <wp:docPr descr="Metadata Figure 3. Number of subjects per disease category." title="" id="58" name="Picture"/>
            <a:graphic>
              <a:graphicData uri="http://schemas.openxmlformats.org/drawingml/2006/picture">
                <pic:pic>
                  <pic:nvPicPr>
                    <pic:cNvPr descr="../immunedb_STATS_API/metadata/plots/02a_subjects_per_disease_category.png" id="59" name="Picture"/>
                    <pic:cNvPicPr>
                      <a:picLocks noChangeArrowheads="1" noChangeAspect="1"/>
                    </pic:cNvPicPr>
                  </pic:nvPicPr>
                  <pic:blipFill>
                    <a:blip r:embed="rId57"/>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Metadata Figure 3. Number of subjects per disease category.</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title="" id="61" name="Picture"/>
            <a:graphic>
              <a:graphicData uri="http://schemas.openxmlformats.org/drawingml/2006/picture">
                <pic:pic>
                  <pic:nvPicPr>
                    <pic:cNvPr descr="../immunedb_STATS_API/metadata/plots/04_disease_harmonized_with_labels.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1"/>
        </w:numPr>
        <w:pStyle w:val="Compact"/>
      </w:pPr>
      <w:r>
        <w:t xml:space="preserve">Severe and Mild individuals span a wide age range (20-88 years), while Recovered and COVID Naive individuals tend to be younger (20-50 years).</w:t>
      </w:r>
    </w:p>
    <w:p>
      <w:pPr>
        <w:numPr>
          <w:ilvl w:val="0"/>
          <w:numId w:val="1011"/>
        </w:numPr>
        <w:pStyle w:val="Compact"/>
      </w:pPr>
      <w:r>
        <w:t xml:space="preserve">The Healthy group has a moderate age range (23-58 years).</w:t>
      </w:r>
    </w:p>
    <w:p>
      <w:pPr>
        <w:numPr>
          <w:ilvl w:val="0"/>
          <w:numId w:val="1011"/>
        </w:numPr>
        <w:pStyle w:val="Compact"/>
      </w:pPr>
      <w:r>
        <w:t xml:space="preserve">Sex data is missing for several individuals in CD3 (shown as X markers), limiting sex-stratified analyses in those disease categories.</w:t>
      </w:r>
    </w:p>
    <w:p>
      <w:pPr>
        <w:numPr>
          <w:ilvl w:val="0"/>
          <w:numId w:val="1011"/>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title="" id="64" name="Picture"/>
            <a:graphic>
              <a:graphicData uri="http://schemas.openxmlformats.org/drawingml/2006/picture">
                <pic:pic>
                  <pic:nvPicPr>
                    <pic:cNvPr descr="../immunedb_STATS_API/metadata/plots/05_demographics_scatter.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p>
      <w:pPr>
        <w:pStyle w:val="CaptionedFigure"/>
      </w:pPr>
      <w:r>
        <w:drawing>
          <wp:inline>
            <wp:extent cx="5334000" cy="3282461"/>
            <wp:effectExtent b="0" l="0" r="0" t="0"/>
            <wp:docPr descr="Metadata Figure 6. Heatmap of individual counts across disease category, age group, and sex." title="" id="67" name="Picture"/>
            <a:graphic>
              <a:graphicData uri="http://schemas.openxmlformats.org/drawingml/2006/picture">
                <pic:pic>
                  <pic:nvPicPr>
                    <pic:cNvPr descr="../immunedb_STATS_API/metadata/plots/03e_heatmap_disease_age_sex.png" id="68" name="Picture"/>
                    <pic:cNvPicPr>
                      <a:picLocks noChangeArrowheads="1" noChangeAspect="1"/>
                    </pic:cNvPicPr>
                  </pic:nvPicPr>
                  <pic:blipFill>
                    <a:blip r:embed="rId6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w:t>
      </w:r>
    </w:p>
    <w:bookmarkEnd w:id="69"/>
    <w:bookmarkStart w:id="109"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title="" id="71" name="Picture"/>
            <a:graphic>
              <a:graphicData uri="http://schemas.openxmlformats.org/drawingml/2006/picture">
                <pic:pic>
                  <pic:nvPicPr>
                    <pic:cNvPr descr="../immunedb_STATS_API/clonal_analysis/plots/01_clone_count_by_diseas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w:t>
      </w:r>
    </w:p>
    <w:p>
      <w:pPr>
        <w:pStyle w:val="BodyText"/>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10</w:t>
      </w:r>
      <w:r>
        <w:t xml:space="preserve">).</w:t>
      </w:r>
    </w:p>
    <w:p>
      <w:pPr>
        <w:pStyle w:val="CaptionedFigure"/>
      </w:pPr>
      <w:r>
        <w:drawing>
          <wp:inline>
            <wp:extent cx="5334000" cy="3556000"/>
            <wp:effectExtent b="0" l="0" r="0" t="0"/>
            <wp:docPr descr="Figure 10. Expanded clone count by disease stage." title="" id="74" name="Picture"/>
            <a:graphic>
              <a:graphicData uri="http://schemas.openxmlformats.org/drawingml/2006/picture">
                <pic:pic>
                  <pic:nvPicPr>
                    <pic:cNvPr descr="../immunedb_STATS_API/clonal_analysis/plots/10_expanded_clones_by_disease.png" id="75" name="Picture"/>
                    <pic:cNvPicPr>
                      <a:picLocks noChangeArrowheads="1" noChangeAspect="1"/>
                    </pic:cNvPicPr>
                  </pic:nvPicPr>
                  <pic:blipFill>
                    <a:blip r:embed="rId7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Expanded clone count by disease stage.</w:t>
      </w:r>
    </w:p>
    <w:p>
      <w:pPr>
        <w:pStyle w:val="BodyText"/>
      </w:pPr>
      <w:r>
        <w:rPr>
          <w:bCs/>
          <w:b/>
        </w:rPr>
        <w:t xml:space="preserve">Clone size distribution.</w:t>
      </w:r>
      <w:r>
        <w:t xml:space="preserve"> </w:t>
      </w:r>
      <w:r>
        <w:t xml:space="preserve">The clone_size endpoint returned the distribution of clone sizes across disease categories (</w:t>
      </w:r>
      <w:r>
        <w:rPr>
          <w:bCs/>
          <w:b/>
        </w:rPr>
        <w:t xml:space="preserve">Figure 9</w:t>
      </w:r>
      <w:r>
        <w:t xml:space="preserve">), providing a view of how clone sizes are distributed within each group.</w:t>
      </w:r>
    </w:p>
    <w:p>
      <w:pPr>
        <w:pStyle w:val="CaptionedFigure"/>
      </w:pPr>
      <w:r>
        <w:drawing>
          <wp:inline>
            <wp:extent cx="5334000" cy="3556000"/>
            <wp:effectExtent b="0" l="0" r="0" t="0"/>
            <wp:docPr descr="Figure 9. Clone size distribution by disease stage." title="" id="77" name="Picture"/>
            <a:graphic>
              <a:graphicData uri="http://schemas.openxmlformats.org/drawingml/2006/picture">
                <pic:pic>
                  <pic:nvPicPr>
                    <pic:cNvPr descr="../immunedb_STATS_API/clonal_analysis/plots/09_clone_size_by_disease.png" id="78" name="Picture"/>
                    <pic:cNvPicPr>
                      <a:picLocks noChangeArrowheads="1" noChangeAspect="1"/>
                    </pic:cNvPicPr>
                  </pic:nvPicPr>
                  <pic:blipFill>
                    <a:blip r:embed="rId7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Clone size distribution by disease stage.</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11</w:t>
      </w:r>
      <w:r>
        <w:t xml:space="preserve">).</w:t>
      </w:r>
    </w:p>
    <w:p>
      <w:pPr>
        <w:pStyle w:val="CaptionedFigure"/>
      </w:pPr>
      <w:r>
        <w:drawing>
          <wp:inline>
            <wp:extent cx="5334000" cy="3556000"/>
            <wp:effectExtent b="0" l="0" r="0" t="0"/>
            <wp:docPr descr="Figure 11. Expanded clone size by disease stage." title="" id="80" name="Picture"/>
            <a:graphic>
              <a:graphicData uri="http://schemas.openxmlformats.org/drawingml/2006/picture">
                <pic:pic>
                  <pic:nvPicPr>
                    <pic:cNvPr descr="../immunedb_STATS_API/clonal_analysis/plots/11_expanded_clone_size_by_disease.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Expanded clone size by disease stage.</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CaptionedFigure"/>
      </w:pPr>
      <w:r>
        <w:drawing>
          <wp:inline>
            <wp:extent cx="5334000" cy="2667000"/>
            <wp:effectExtent b="0" l="0" r="0" t="0"/>
            <wp:docPr descr="Figure 2. Top X clone fraction by disease stage."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 Top X clone fraction by disease stage.</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3. CDR3 length by disease stage." title="" id="86" name="Picture"/>
            <a:graphic>
              <a:graphicData uri="http://schemas.openxmlformats.org/drawingml/2006/picture">
                <pic:pic>
                  <pic:nvPicPr>
                    <pic:cNvPr descr="../immunedb_STATS_API/clonal_analysis/plots/03_cdr3_by_disease.png" id="87" name="Picture"/>
                    <pic:cNvPicPr>
                      <a:picLocks noChangeArrowheads="1" noChangeAspect="1"/>
                    </pic:cNvPicPr>
                  </pic:nvPicPr>
                  <pic:blipFill>
                    <a:blip r:embed="rId8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 CDR3 length by disease stage.</w:t>
      </w:r>
    </w:p>
    <w:p>
      <w:pPr>
        <w:pStyle w:val="CaptionedFigure"/>
      </w:pPr>
      <w:r>
        <w:drawing>
          <wp:inline>
            <wp:extent cx="5334000" cy="3556000"/>
            <wp:effectExtent b="0" l="0" r="0" t="0"/>
            <wp:docPr descr="Figure 4. CDR3 length range by disease stage." title="" id="89" name="Picture"/>
            <a:graphic>
              <a:graphicData uri="http://schemas.openxmlformats.org/drawingml/2006/picture">
                <pic:pic>
                  <pic:nvPicPr>
                    <pic:cNvPr descr="../immunedb_STATS_API/clonal_analysis/plots/04_cdr3_range_by_disease.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CDR3 length range by disease stage.</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CaptionedFigure"/>
      </w:pPr>
      <w:r>
        <w:drawing>
          <wp:inline>
            <wp:extent cx="5334000" cy="3048000"/>
            <wp:effectExtent b="0" l="0" r="0" t="0"/>
            <wp:docPr descr="Figure 5. Total mutation level by disease stage." title="" id="92" name="Picture"/>
            <a:graphic>
              <a:graphicData uri="http://schemas.openxmlformats.org/drawingml/2006/picture">
                <pic:pic>
                  <pic:nvPicPr>
                    <pic:cNvPr descr="../immunedb_STATS_API/clonal_analysis/plots/05_mutation_by_disease.png" id="93" name="Picture"/>
                    <pic:cNvPicPr>
                      <a:picLocks noChangeArrowheads="1" noChangeAspect="1"/>
                    </pic:cNvPicPr>
                  </pic:nvPicPr>
                  <pic:blipFill>
                    <a:blip r:embed="rId9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 Total mutation level by disease stage.</w:t>
      </w:r>
    </w:p>
    <w:p>
      <w:pPr>
        <w:pStyle w:val="CaptionedFigure"/>
      </w:pPr>
      <w:r>
        <w:drawing>
          <wp:inline>
            <wp:extent cx="5334000" cy="3556000"/>
            <wp:effectExtent b="0" l="0" r="0" t="0"/>
            <wp:docPr descr="Figure 6. Mutation gradient across clone size ranks." title="" id="95" name="Picture"/>
            <a:graphic>
              <a:graphicData uri="http://schemas.openxmlformats.org/drawingml/2006/picture">
                <pic:pic>
                  <pic:nvPicPr>
                    <pic:cNvPr descr="../immunedb_STATS_API/clonal_analysis/plots/06_mutation_gradient_by_disease.png" id="96" name="Picture"/>
                    <pic:cNvPicPr>
                      <a:picLocks noChangeArrowheads="1" noChangeAspect="1"/>
                    </pic:cNvPicPr>
                  </pic:nvPicPr>
                  <pic:blipFill>
                    <a:blip r:embed="rId9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Mutation gradient across clone size ranks.</w:t>
      </w:r>
    </w:p>
    <w:p>
      <w:pPr>
        <w:pStyle w:val="CaptionedFigure"/>
      </w:pPr>
      <w:r>
        <w:drawing>
          <wp:inline>
            <wp:extent cx="5334000" cy="3556000"/>
            <wp:effectExtent b="0" l="0" r="0" t="0"/>
            <wp:docPr descr="Figure 7. CDR and FW region mutations by disease stage." title="" id="98" name="Picture"/>
            <a:graphic>
              <a:graphicData uri="http://schemas.openxmlformats.org/drawingml/2006/picture">
                <pic:pic>
                  <pic:nvPicPr>
                    <pic:cNvPr descr="../immunedb_STATS_API/clonal_analysis/plots/07_cdr_mutations_by_disease.png" id="99" name="Picture"/>
                    <pic:cNvPicPr>
                      <a:picLocks noChangeArrowheads="1" noChangeAspect="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CDR and FW region mutations by disease stage.</w:t>
      </w:r>
    </w:p>
    <w:p>
      <w:pPr>
        <w:pStyle w:val="CaptionedFigure"/>
      </w:pPr>
      <w:r>
        <w:drawing>
          <wp:inline>
            <wp:extent cx="5334000" cy="3048000"/>
            <wp:effectExtent b="0" l="0" r="0" t="0"/>
            <wp:docPr descr="Figure 8. NS/S ratio by disease stage." title="" id="101" name="Picture"/>
            <a:graphic>
              <a:graphicData uri="http://schemas.openxmlformats.org/drawingml/2006/picture">
                <pic:pic>
                  <pic:nvPicPr>
                    <pic:cNvPr descr="../immunedb_STATS_API/clonal_analysis/plots/08_rs_ratio_by_disease.png" id="102" name="Picture"/>
                    <pic:cNvPicPr>
                      <a:picLocks noChangeArrowheads="1" noChangeAspect="1"/>
                    </pic:cNvPicPr>
                  </pic:nvPicPr>
                  <pic:blipFill>
                    <a:blip r:embed="rId10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NS/S ratio by disease stage.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2. Mutation level in top 10 clones by sex and disease stage." title="" id="104" name="Picture"/>
            <a:graphic>
              <a:graphicData uri="http://schemas.openxmlformats.org/drawingml/2006/picture">
                <pic:pic>
                  <pic:nvPicPr>
                    <pic:cNvPr descr="../immunedb_STATS_API/clonal_analysis/plots/12_mutation_top10_by_sex_disease.png" id="105" name="Picture"/>
                    <pic:cNvPicPr>
                      <a:picLocks noChangeArrowheads="1" noChangeAspect="1"/>
                    </pic:cNvPicPr>
                  </pic:nvPicPr>
                  <pic:blipFill>
                    <a:blip r:embed="rId10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Mutation level in top 10 clones by sex and disease stage.</w:t>
      </w:r>
    </w:p>
    <w:p>
      <w:pPr>
        <w:pStyle w:val="CaptionedFigure"/>
      </w:pPr>
      <w:r>
        <w:drawing>
          <wp:inline>
            <wp:extent cx="5334000" cy="3048000"/>
            <wp:effectExtent b="0" l="0" r="0" t="0"/>
            <wp:docPr descr="Figure 13. CDR3 length in top 10 clones by sex and disease stage." title="" id="107" name="Picture"/>
            <a:graphic>
              <a:graphicData uri="http://schemas.openxmlformats.org/drawingml/2006/picture">
                <pic:pic>
                  <pic:nvPicPr>
                    <pic:cNvPr descr="../immunedb_STATS_API/clonal_analysis/plots/13_cdr3_top10_by_sex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CDR3 length in top 10 clones by sex and disease stage.</w:t>
      </w:r>
    </w:p>
    <w:bookmarkEnd w:id="109"/>
    <w:bookmarkStart w:id="119"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CaptionedFigure"/>
      </w:pPr>
      <w:r>
        <w:drawing>
          <wp:inline>
            <wp:extent cx="5334000" cy="3306593"/>
            <wp:effectExtent b="0" l="0" r="0" t="0"/>
            <wp:docPr descr="Figure 14. Within-individual clone count across tissues." title="" id="111" name="Picture"/>
            <a:graphic>
              <a:graphicData uri="http://schemas.openxmlformats.org/drawingml/2006/picture">
                <pic:pic>
                  <pic:nvPicPr>
                    <pic:cNvPr descr="../immunedb_STATS_API/clonal_analysis/plots/14_within_subject_clone_count.png" id="112" name="Picture"/>
                    <pic:cNvPicPr>
                      <a:picLocks noChangeArrowheads="1" noChangeAspect="1"/>
                    </pic:cNvPicPr>
                  </pic:nvPicPr>
                  <pic:blipFill>
                    <a:blip r:embed="rId11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14. Within-individual clone count across tissues.</w:t>
      </w:r>
    </w:p>
    <w:p>
      <w:pPr>
        <w:pStyle w:val="CaptionedFigure"/>
      </w:pPr>
      <w:r>
        <w:drawing>
          <wp:inline>
            <wp:extent cx="5334000" cy="2471482"/>
            <wp:effectExtent b="0" l="0" r="0" t="0"/>
            <wp:docPr descr="Figure 15. Within-individual clone size across tissues." title="" id="114" name="Picture"/>
            <a:graphic>
              <a:graphicData uri="http://schemas.openxmlformats.org/drawingml/2006/picture">
                <pic:pic>
                  <pic:nvPicPr>
                    <pic:cNvPr descr="../immunedb_STATS_API/clonal_analysis/plots/15_within_subject_clone_size_cross_study.png" id="115" name="Picture"/>
                    <pic:cNvPicPr>
                      <a:picLocks noChangeArrowheads="1" noChangeAspect="1"/>
                    </pic:cNvPicPr>
                  </pic:nvPicPr>
                  <pic:blipFill>
                    <a:blip r:embed="rId11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15. Within-individual clone size across tissues.</w:t>
      </w:r>
    </w:p>
    <w:p>
      <w:pPr>
        <w:pStyle w:val="CaptionedFigure"/>
      </w:pPr>
      <w:r>
        <w:drawing>
          <wp:inline>
            <wp:extent cx="5334000" cy="3719514"/>
            <wp:effectExtent b="0" l="0" r="0" t="0"/>
            <wp:docPr descr="Figure 16. Within-individual tissue comparison (paired line plots)." title="" id="117" name="Picture"/>
            <a:graphic>
              <a:graphicData uri="http://schemas.openxmlformats.org/drawingml/2006/picture">
                <pic:pic>
                  <pic:nvPicPr>
                    <pic:cNvPr descr="../immunedb_STATS_API/clonal_analysis/plots/16_within_subject_tissue_lines.png" id="118" name="Picture"/>
                    <pic:cNvPicPr>
                      <a:picLocks noChangeArrowheads="1" noChangeAspect="1"/>
                    </pic:cNvPicPr>
                  </pic:nvPicPr>
                  <pic:blipFill>
                    <a:blip r:embed="rId11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16. Within-individual tissue comparison (paired line plots).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19"/>
    <w:bookmarkStart w:id="120"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120"/>
    <w:bookmarkEnd w:id="121"/>
    <w:bookmarkStart w:id="155"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128"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CaptionedFigure"/>
      </w:pPr>
      <w:r>
        <w:drawing>
          <wp:inline>
            <wp:extent cx="5334000" cy="1845482"/>
            <wp:effectExtent b="0" l="0" r="0" t="0"/>
            <wp:docPr descr="Figure 17. Clonal diversity: Hill numbers (Order 0, 1, 2) by disease stage." title="" id="123" name="Picture"/>
            <a:graphic>
              <a:graphicData uri="http://schemas.openxmlformats.org/drawingml/2006/picture">
                <pic:pic>
                  <pic:nvPicPr>
                    <pic:cNvPr descr="../immunedb_STATS_API/clonal_analysis/plots/17_diversity_hill_numbers.png" id="124" name="Picture"/>
                    <pic:cNvPicPr>
                      <a:picLocks noChangeArrowheads="1" noChangeAspect="1"/>
                    </pic:cNvPicPr>
                  </pic:nvPicPr>
                  <pic:blipFill>
                    <a:blip r:embed="rId122"/>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17. Clonal diversity: Hill numbers (Order 0, 1, 2) by disease stage.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8. Diversity profiles by disease stage." title="" id="126" name="Picture"/>
            <a:graphic>
              <a:graphicData uri="http://schemas.openxmlformats.org/drawingml/2006/picture">
                <pic:pic>
                  <pic:nvPicPr>
                    <pic:cNvPr descr="../immunedb_STATS_API/clonal_analysis/plots/18_diversity_profiles.png" id="127" name="Picture"/>
                    <pic:cNvPicPr>
                      <a:picLocks noChangeArrowheads="1" noChangeAspect="1"/>
                    </pic:cNvPicPr>
                  </pic:nvPicPr>
                  <pic:blipFill>
                    <a:blip r:embed="rId125"/>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18. Diversity profiles by disease stage.</w:t>
      </w:r>
    </w:p>
    <w:bookmarkEnd w:id="128"/>
    <w:bookmarkStart w:id="135"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w:t>
      </w:r>
    </w:p>
    <w:p>
      <w:pPr>
        <w:pStyle w:val="CaptionedFigure"/>
      </w:pPr>
      <w:r>
        <w:drawing>
          <wp:inline>
            <wp:extent cx="5334000" cy="1757149"/>
            <wp:effectExtent b="0" l="0" r="0" t="0"/>
            <wp:docPr descr="Figure 19. Expanded clones at different thresholds by disease stage." title="" id="130" name="Picture"/>
            <a:graphic>
              <a:graphicData uri="http://schemas.openxmlformats.org/drawingml/2006/picture">
                <pic:pic>
                  <pic:nvPicPr>
                    <pic:cNvPr descr="../immunedb_STATS_API/clonal_analysis/plots/19_expanded_clones_threshold.png" id="131" name="Picture"/>
                    <pic:cNvPicPr>
                      <a:picLocks noChangeArrowheads="1" noChangeAspect="1"/>
                    </pic:cNvPicPr>
                  </pic:nvPicPr>
                  <pic:blipFill>
                    <a:blip r:embed="rId129"/>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19. Expanded clones at different thresholds by disease stage.</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w:t>
      </w:r>
    </w:p>
    <w:p>
      <w:pPr>
        <w:pStyle w:val="CaptionedFigure"/>
      </w:pPr>
      <w:r>
        <w:drawing>
          <wp:inline>
            <wp:extent cx="5334000" cy="2316067"/>
            <wp:effectExtent b="0" l="0" r="0" t="0"/>
            <wp:docPr descr="Figure 20. Clone size distribution by disease stage." title="" id="133" name="Picture"/>
            <a:graphic>
              <a:graphicData uri="http://schemas.openxmlformats.org/drawingml/2006/picture">
                <pic:pic>
                  <pic:nvPicPr>
                    <pic:cNvPr descr="../immunedb_STATS_API/clonal_analysis/plots/20_clone_size_distribution.png" id="134" name="Picture"/>
                    <pic:cNvPicPr>
                      <a:picLocks noChangeArrowheads="1" noChangeAspect="1"/>
                    </pic:cNvPicPr>
                  </pic:nvPicPr>
                  <pic:blipFill>
                    <a:blip r:embed="rId132"/>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20. Clone size distribution by disease stage.</w:t>
      </w:r>
    </w:p>
    <w:p>
      <w:pPr>
        <w:pStyle w:val="BodyText"/>
      </w:pPr>
      <w:r>
        <w:t xml:space="preserve">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135"/>
    <w:bookmarkStart w:id="139"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CaptionedFigure"/>
      </w:pPr>
      <w:r>
        <w:drawing>
          <wp:inline>
            <wp:extent cx="5334000" cy="1845894"/>
            <wp:effectExtent b="0" l="0" r="0" t="0"/>
            <wp:docPr descr="Figure 21. NS/S ratio by region and disease stage." title="" id="137" name="Picture"/>
            <a:graphic>
              <a:graphicData uri="http://schemas.openxmlformats.org/drawingml/2006/picture">
                <pic:pic>
                  <pic:nvPicPr>
                    <pic:cNvPr descr="../immunedb_STATS_API/clonal_analysis/plots/21_mutations_rs_ratio.png" id="138" name="Picture"/>
                    <pic:cNvPicPr>
                      <a:picLocks noChangeArrowheads="1" noChangeAspect="1"/>
                    </pic:cNvPicPr>
                  </pic:nvPicPr>
                  <pic:blipFill>
                    <a:blip r:embed="rId136"/>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21. NS/S ratio by region and disease stage.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39"/>
    <w:bookmarkStart w:id="143"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CaptionedFigure"/>
      </w:pPr>
      <w:r>
        <w:drawing>
          <wp:inline>
            <wp:extent cx="5334000" cy="2310924"/>
            <wp:effectExtent b="0" l="0" r="0" t="0"/>
            <wp:docPr descr="Figure 22. CDR3 length distribution (mean and SD) by disease stage." title="" id="141" name="Picture"/>
            <a:graphic>
              <a:graphicData uri="http://schemas.openxmlformats.org/drawingml/2006/picture">
                <pic:pic>
                  <pic:nvPicPr>
                    <pic:cNvPr descr="../immunedb_STATS_API/clonal_analysis/plots/22_cdr3_length_distribution.png" id="142" name="Picture"/>
                    <pic:cNvPicPr>
                      <a:picLocks noChangeArrowheads="1" noChangeAspect="1"/>
                    </pic:cNvPicPr>
                  </pic:nvPicPr>
                  <pic:blipFill>
                    <a:blip r:embed="rId140"/>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22. CDR3 length distribution (mean and SD) by disease stage.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43"/>
    <w:bookmarkStart w:id="147"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w:t>
      </w:r>
    </w:p>
    <w:p>
      <w:pPr>
        <w:pStyle w:val="CaptionedFigure"/>
      </w:pPr>
      <w:r>
        <w:drawing>
          <wp:inline>
            <wp:extent cx="5334000" cy="2762409"/>
            <wp:effectExtent b="0" l="0" r="0" t="0"/>
            <wp:docPr descr="Figure 23. V gene usage heatmap by disease stage." title="" id="145" name="Picture"/>
            <a:graphic>
              <a:graphicData uri="http://schemas.openxmlformats.org/drawingml/2006/picture">
                <pic:pic>
                  <pic:nvPicPr>
                    <pic:cNvPr descr="../immunedb_STATS_API/clonal_analysis/plots/23_v_gene_usage_heatmap.png" id="146" name="Picture"/>
                    <pic:cNvPicPr>
                      <a:picLocks noChangeArrowheads="1" noChangeAspect="1"/>
                    </pic:cNvPicPr>
                  </pic:nvPicPr>
                  <pic:blipFill>
                    <a:blip r:embed="rId144"/>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23. V gene usage heatmap by disease stage.</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47"/>
    <w:bookmarkStart w:id="154"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24. Clonal metrics versus age by disease stage." title="" id="149" name="Picture"/>
            <a:graphic>
              <a:graphicData uri="http://schemas.openxmlformats.org/drawingml/2006/picture">
                <pic:pic>
                  <pic:nvPicPr>
                    <pic:cNvPr descr="../immunedb_STATS_API/clonal_analysis/plots/24_metrics_vs_age.png" id="150" name="Picture"/>
                    <pic:cNvPicPr>
                      <a:picLocks noChangeArrowheads="1" noChangeAspect="1"/>
                    </pic:cNvPicPr>
                  </pic:nvPicPr>
                  <pic:blipFill>
                    <a:blip r:embed="rId148"/>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24. Clonal metrics versus age by disease stage.</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5. Clonal metrics by gender and disease stage." title="" id="152" name="Picture"/>
            <a:graphic>
              <a:graphicData uri="http://schemas.openxmlformats.org/drawingml/2006/picture">
                <pic:pic>
                  <pic:nvPicPr>
                    <pic:cNvPr descr="../immunedb_STATS_API/clonal_analysis/plots/25_metrics_vs_gender.png" id="153" name="Picture"/>
                    <pic:cNvPicPr>
                      <a:picLocks noChangeArrowheads="1" noChangeAspect="1"/>
                    </pic:cNvPicPr>
                  </pic:nvPicPr>
                  <pic:blipFill>
                    <a:blip r:embed="rId151"/>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25. Clonal metrics by gender and disease stage.</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54"/>
    <w:bookmarkEnd w:id="155"/>
    <w:bookmarkEnd w:id="156"/>
    <w:bookmarkStart w:id="161" w:name="discussion-and-conclusions"/>
    <w:p>
      <w:pPr>
        <w:pStyle w:val="Heading1"/>
      </w:pPr>
      <w:r>
        <w:t xml:space="preserve">Discussion and Conclusions</w:t>
      </w:r>
    </w:p>
    <w:bookmarkStart w:id="157"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7"/>
    <w:bookmarkStart w:id="158"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8"/>
    <w:bookmarkStart w:id="159"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9"/>
    <w:bookmarkStart w:id="160"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60"/>
    <w:bookmarkEnd w:id="161"/>
    <w:bookmarkStart w:id="162"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2026-08-29T05:21:12Z</dcterms:created>
  <dcterms:modified xsi:type="dcterms:W3CDTF">2026-08-29T05:21:12Z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