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Immune Repertoire Analysis</w:t>
      </w:r>
    </w:p>
    <w:p>
      <w:pPr>
        <w:pStyle w:val="Heading1"/>
        <w:jc w:val="center"/>
      </w:pPr>
      <w:r>
        <w:rPr>
          <w:color w:val="555555"/>
        </w:rPr>
        <w:t>Results</w:t>
      </w:r>
    </w:p>
    <w:p>
      <w:pPr>
        <w:jc w:val="center"/>
      </w:pPr>
      <w:r>
        <w:rPr>
          <w:b/>
        </w:rPr>
        <w:br/>
        <w:t xml:space="preserve">Date: </w:t>
      </w:r>
      <w:r>
        <w:t>June 15, 2026</w:t>
        <w:br/>
      </w:r>
      <w:r>
        <w:rPr>
          <w:b/>
        </w:rPr>
        <w:t xml:space="preserve">Data Source: </w:t>
      </w:r>
      <w:r>
        <w:t>iReceptor Statistics API</w:t>
        <w:br/>
      </w:r>
      <w:r>
        <w:rPr>
          <w:b/>
        </w:rPr>
        <w:t xml:space="preserve">Total Repertoires: </w:t>
      </w:r>
      <w:r>
        <w:t>100 (85 with complete metadata)</w:t>
      </w:r>
    </w:p>
    <w:p>
      <w:r>
        <w:br w:type="page"/>
      </w:r>
    </w:p>
    <w:p>
      <w:pPr>
        <w:pStyle w:val="Heading1"/>
      </w:pPr>
      <w:r>
        <w:rPr>
          <w:color w:val="1A3C6E"/>
        </w:rPr>
        <w:t>Table of Contents</w:t>
      </w:r>
    </w:p>
    <w:p>
      <w:pPr>
        <w:spacing w:after="40" w:before="40"/>
      </w:pPr>
      <w:r>
        <w:t>1. Dataset Discovery</w:t>
      </w:r>
    </w:p>
    <w:p>
      <w:pPr>
        <w:spacing w:after="40" w:before="40"/>
      </w:pPr>
      <w:r>
        <w:t>2. Metadata Exploration</w:t>
      </w:r>
    </w:p>
    <w:p>
      <w:pPr>
        <w:spacing w:after="40" w:before="40"/>
      </w:pPr>
      <w:r>
        <w:t xml:space="preserve">   2.1 Available Metadata Categories</w:t>
      </w:r>
    </w:p>
    <w:p>
      <w:pPr>
        <w:spacing w:after="40" w:before="40"/>
      </w:pPr>
      <w:r>
        <w:t xml:space="preserve">   2.2 Study Metadata</w:t>
      </w:r>
    </w:p>
    <w:p>
      <w:pPr>
        <w:spacing w:after="40" w:before="40"/>
      </w:pPr>
      <w:r>
        <w:t xml:space="preserve">   2.3 Subject Metadata</w:t>
      </w:r>
    </w:p>
    <w:p>
      <w:pPr>
        <w:spacing w:after="40" w:before="40"/>
      </w:pPr>
      <w:r>
        <w:t xml:space="preserve">   2.4 Diagnosis and Intervention Metadata</w:t>
      </w:r>
    </w:p>
    <w:p>
      <w:pPr>
        <w:spacing w:after="40" w:before="40"/>
      </w:pPr>
      <w:r>
        <w:t xml:space="preserve">   2.5 Sample Metadata</w:t>
      </w:r>
    </w:p>
    <w:p>
      <w:pPr>
        <w:spacing w:after="40" w:before="40"/>
      </w:pPr>
      <w:r>
        <w:t xml:space="preserve">   2.6 Process Metadata</w:t>
      </w:r>
    </w:p>
    <w:p>
      <w:pPr>
        <w:spacing w:after="40" w:before="40"/>
      </w:pPr>
      <w:r>
        <w:t>3. Cohort Characterization</w:t>
      </w:r>
    </w:p>
    <w:p>
      <w:pPr>
        <w:spacing w:after="40" w:before="40"/>
      </w:pPr>
      <w:r>
        <w:t xml:space="preserve">   3.1 Disease Category Distribution</w:t>
      </w:r>
    </w:p>
    <w:p>
      <w:pPr>
        <w:spacing w:after="40" w:before="40"/>
      </w:pPr>
      <w:r>
        <w:t xml:space="preserve">   3.2 Sex Distribution</w:t>
      </w:r>
    </w:p>
    <w:p>
      <w:pPr>
        <w:spacing w:after="40" w:before="40"/>
      </w:pPr>
      <w:r>
        <w:t xml:space="preserve">   3.3 Age Distribution</w:t>
      </w:r>
    </w:p>
    <w:p>
      <w:pPr>
        <w:spacing w:after="40" w:before="40"/>
      </w:pPr>
      <w:r>
        <w:t xml:space="preserve">   3.4 Cross-Stratifications</w:t>
      </w:r>
    </w:p>
    <w:p>
      <w:pPr>
        <w:spacing w:after="40" w:before="40"/>
      </w:pPr>
      <w:r>
        <w:t>4. Statistical Endpoints</w:t>
      </w:r>
    </w:p>
    <w:p>
      <w:pPr>
        <w:spacing w:after="40" w:before="40"/>
      </w:pPr>
      <w:r>
        <w:t>5. Clonal Diversity and Expansion</w:t>
      </w:r>
    </w:p>
    <w:p>
      <w:pPr>
        <w:spacing w:after="40" w:before="40"/>
      </w:pPr>
      <w:r>
        <w:t xml:space="preserve">   5.1 Clone Count</w:t>
      </w:r>
    </w:p>
    <w:p>
      <w:pPr>
        <w:spacing w:after="40" w:before="40"/>
      </w:pPr>
      <w:r>
        <w:t xml:space="preserve">   5.2 Clone Size</w:t>
      </w:r>
    </w:p>
    <w:p>
      <w:pPr>
        <w:spacing w:after="40" w:before="40"/>
      </w:pPr>
      <w:r>
        <w:t>6. Repertoire Dominance</w:t>
      </w:r>
    </w:p>
    <w:p>
      <w:pPr>
        <w:spacing w:after="40" w:before="40"/>
      </w:pPr>
      <w:r>
        <w:t xml:space="preserve">   6.1 Top X Clone Fraction</w:t>
      </w:r>
    </w:p>
    <w:p>
      <w:pPr>
        <w:spacing w:after="40" w:before="40"/>
      </w:pPr>
      <w:r>
        <w:t>7. CDR3 Structural Features</w:t>
      </w:r>
    </w:p>
    <w:p>
      <w:pPr>
        <w:spacing w:after="40" w:before="40"/>
      </w:pPr>
      <w:r>
        <w:t xml:space="preserve">   7.1 CDR3 Length</w:t>
      </w:r>
    </w:p>
    <w:p>
      <w:pPr>
        <w:spacing w:after="40" w:before="40"/>
      </w:pPr>
      <w:r>
        <w:t>8. Summary of Key Findings</w:t>
      </w:r>
    </w:p>
    <w:p>
      <w:r>
        <w:br w:type="page"/>
      </w:r>
    </w:p>
    <w:p>
      <w:pPr>
        <w:pStyle w:val="Heading1"/>
      </w:pPr>
      <w:r>
        <w:rPr>
          <w:color w:val="1A3C6E"/>
        </w:rPr>
        <w:t>1. Dataset Discovery</w:t>
      </w:r>
    </w:p>
    <w:p>
      <w:pPr>
        <w:spacing w:after="120"/>
      </w:pPr>
      <w:r>
        <w:t>The iReceptor Statistics API provides a discovery-driven interface for exploring immune repertoire data. As a first step, we queried the API to retrieve all available datasets in the system.</w:t>
      </w:r>
    </w:p>
    <w:p>
      <w:pPr>
        <w:spacing w:after="120"/>
      </w:pPr>
      <w:r>
        <w:t>The query returned 5 available datasets, of which 3 are related to COVID-19 studies. We selected these COVID-19 datasets as a use case because repertoire studies in infectious disease are a key application of AIRR-seq, and COVID-19 provides a well-characterized clinical spectrum (naive, mild, severe, recovered) that allows us to demonstrate the analytical capabilities of the platform across biologically meaningful comparisons.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Dataset</w:t>
            </w:r>
          </w:p>
        </w:tc>
        <w:tc>
          <w:tcPr>
            <w:tcW w:type="dxa" w:w="2880"/>
          </w:tcPr>
          <w:p>
            <w:r>
              <w:rPr>
                <w:b/>
                <w:sz w:val="20"/>
              </w:rPr>
              <w:t>Study Title</w:t>
            </w:r>
          </w:p>
        </w:tc>
        <w:tc>
          <w:tcPr>
            <w:tcW w:type="dxa" w:w="2880"/>
          </w:tcPr>
          <w:p>
            <w:r>
              <w:rPr>
                <w:b/>
                <w:sz w:val="20"/>
              </w:rPr>
              <w:t>Relevant Publication</w:t>
            </w:r>
          </w:p>
        </w:tc>
      </w:tr>
      <w:tr>
        <w:tc>
          <w:tcPr>
            <w:tcW w:type="dxa" w:w="2880"/>
          </w:tcPr>
          <w:p>
            <w:r>
              <w:rPr>
                <w:sz w:val="20"/>
              </w:rPr>
              <w:t>covid_vaccine</w:t>
            </w:r>
          </w:p>
        </w:tc>
        <w:tc>
          <w:tcPr>
            <w:tcW w:type="dxa" w:w="2880"/>
          </w:tcPr>
          <w:p>
            <w:r>
              <w:rPr>
                <w:sz w:val="20"/>
              </w:rPr>
              <w:t>covid_vaccine</w:t>
            </w:r>
          </w:p>
        </w:tc>
        <w:tc>
          <w:tcPr>
            <w:tcW w:type="dxa" w:w="2880"/>
          </w:tcPr>
          <w:p>
            <w:r>
              <w:rPr>
                <w:sz w:val="20"/>
              </w:rPr>
              <w:t>PMID: 33858945</w:t>
            </w:r>
          </w:p>
        </w:tc>
      </w:tr>
      <w:tr>
        <w:tc>
          <w:tcPr>
            <w:tcW w:type="dxa" w:w="2880"/>
          </w:tcPr>
          <w:p>
            <w:r>
              <w:rPr>
                <w:sz w:val="20"/>
              </w:rPr>
              <w:t>covid19-2</w:t>
            </w:r>
          </w:p>
        </w:tc>
        <w:tc>
          <w:tcPr>
            <w:tcW w:type="dxa" w:w="2880"/>
          </w:tcPr>
          <w:p>
            <w:r>
              <w:rPr>
                <w:sz w:val="20"/>
              </w:rPr>
              <w:t>covid19-2</w:t>
            </w:r>
          </w:p>
        </w:tc>
        <w:tc>
          <w:tcPr>
            <w:tcW w:type="dxa" w:w="2880"/>
          </w:tcPr>
          <w:p>
            <w:r>
              <w:rPr>
                <w:sz w:val="20"/>
              </w:rPr>
              <w:t>PMID: 33384691</w:t>
            </w:r>
          </w:p>
        </w:tc>
      </w:tr>
      <w:tr>
        <w:tc>
          <w:tcPr>
            <w:tcW w:type="dxa" w:w="2880"/>
          </w:tcPr>
          <w:p>
            <w:r>
              <w:rPr>
                <w:sz w:val="20"/>
              </w:rPr>
              <w:t>Covid19</w:t>
            </w:r>
          </w:p>
        </w:tc>
        <w:tc>
          <w:tcPr>
            <w:tcW w:type="dxa" w:w="2880"/>
          </w:tcPr>
          <w:p>
            <w:r>
              <w:rPr>
                <w:sz w:val="20"/>
              </w:rPr>
              <w:t>Covid19</w:t>
            </w:r>
          </w:p>
        </w:tc>
        <w:tc>
          <w:tcPr>
            <w:tcW w:type="dxa" w:w="2880"/>
          </w:tcPr>
          <w:p>
            <w:r>
              <w:rPr>
                <w:sz w:val="20"/>
              </w:rPr>
              <w:t>PMID: 32669287</w:t>
            </w:r>
          </w:p>
        </w:tc>
      </w:tr>
      <w:tr>
        <w:tc>
          <w:tcPr>
            <w:tcW w:type="dxa" w:w="2880"/>
          </w:tcPr>
          <w:p>
            <w:r>
              <w:rPr>
                <w:sz w:val="20"/>
              </w:rPr>
              <w:t>covid_vaccine2</w:t>
            </w:r>
          </w:p>
        </w:tc>
        <w:tc>
          <w:tcPr>
            <w:tcW w:type="dxa" w:w="2880"/>
          </w:tcPr>
          <w:p>
            <w:r>
              <w:rPr>
                <w:sz w:val="20"/>
              </w:rPr>
              <w:t>covid_vaccine2</w:t>
            </w:r>
          </w:p>
        </w:tc>
        <w:tc>
          <w:tcPr>
            <w:tcW w:type="dxa" w:w="2880"/>
          </w:tcPr>
          <w:p>
            <w:r>
              <w:rPr>
                <w:sz w:val="20"/>
              </w:rPr>
              <w:t>PMID: 34648302</w:t>
            </w:r>
          </w:p>
        </w:tc>
      </w:tr>
      <w:tr>
        <w:tc>
          <w:tcPr>
            <w:tcW w:type="dxa" w:w="2880"/>
          </w:tcPr>
          <w:p>
            <w:r>
              <w:rPr>
                <w:sz w:val="20"/>
              </w:rPr>
              <w:t>patterns in COVID-19</w:t>
            </w:r>
          </w:p>
        </w:tc>
        <w:tc>
          <w:tcPr>
            <w:tcW w:type="dxa" w:w="2880"/>
          </w:tcPr>
          <w:p>
            <w:r>
              <w:rPr>
                <w:sz w:val="20"/>
              </w:rPr>
              <w:t>patterns in COVID-19</w:t>
            </w:r>
          </w:p>
        </w:tc>
        <w:tc>
          <w:tcPr>
            <w:tcW w:type="dxa" w:w="2880"/>
          </w:tcPr>
          <w:p>
            <w:r>
              <w:rPr>
                <w:sz w:val="20"/>
              </w:rPr>
              <w:t>PRJNA839749</w:t>
            </w:r>
          </w:p>
        </w:tc>
      </w:tr>
    </w:tbl>
    <w:p/>
    <w:p>
      <w:pPr>
        <w:jc w:val="center"/>
      </w:pPr>
      <w:r>
        <w:rPr>
          <w:i/>
          <w:color w:val="555555"/>
          <w:sz w:val="18"/>
        </w:rPr>
        <w:t>Figure 1.1. Number of subjects per dataset. [See figure file]</w:t>
      </w:r>
    </w:p>
    <w:p>
      <w:r>
        <w:br w:type="page"/>
      </w:r>
    </w:p>
    <w:p>
      <w:pPr>
        <w:pStyle w:val="Heading1"/>
      </w:pPr>
      <w:r>
        <w:rPr>
          <w:color w:val="1A3C6E"/>
        </w:rPr>
        <w:t>2. Metadata Exploration</w:t>
      </w:r>
    </w:p>
    <w:p>
      <w:pPr>
        <w:spacing w:after="120"/>
      </w:pPr>
      <w:r>
        <w:t>Before performing statistical analyses, we explored the metadata structure of the selected datasets using the API's metadata discovery endpoints. The /meta/categories/ endpoint returns the broad categories of metadata available, and /meta/categories/:type returns the specific fields and values within each category.</w:t>
      </w:r>
    </w:p>
    <w:p>
      <w:pPr>
        <w:pStyle w:val="Heading2"/>
      </w:pPr>
      <w:r>
        <w:rPr>
          <w:color w:val="1A3C6E"/>
        </w:rPr>
        <w:t>2.1 Available Metadata Categories</w:t>
      </w:r>
    </w:p>
    <w:p>
      <w:pPr>
        <w:spacing w:after="120"/>
      </w:pPr>
      <w:r>
        <w:t>The API exposes 5 metadata categories: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Category</w:t>
            </w:r>
          </w:p>
        </w:tc>
        <w:tc>
          <w:tcPr>
            <w:tcW w:type="dxa" w:w="2880"/>
          </w:tcPr>
          <w:p>
            <w:r>
              <w:rPr>
                <w:b/>
                <w:sz w:val="20"/>
              </w:rPr>
              <w:t>Description</w:t>
            </w:r>
          </w:p>
        </w:tc>
      </w:tr>
      <w:tr>
        <w:tc>
          <w:tcPr>
            <w:tcW w:type="dxa" w:w="2880"/>
          </w:tcPr>
          <w:p>
            <w:r>
              <w:rPr>
                <w:sz w:val="20"/>
              </w:rPr>
              <w:t>1</w:t>
            </w:r>
          </w:p>
        </w:tc>
        <w:tc>
          <w:tcPr>
            <w:tcW w:type="dxa" w:w="2880"/>
          </w:tcPr>
          <w:p>
            <w:r>
              <w:rPr>
                <w:sz w:val="20"/>
              </w:rPr>
              <w:t>Study</w:t>
            </w:r>
          </w:p>
        </w:tc>
        <w:tc>
          <w:tcPr>
            <w:tcW w:type="dxa" w:w="2880"/>
          </w:tcPr>
          <w:p>
            <w:r>
              <w:rPr>
                <w:sz w:val="20"/>
              </w:rPr>
              <w:t>Study-level information (title, publications, lab)</w:t>
            </w:r>
          </w:p>
        </w:tc>
      </w:tr>
      <w:tr>
        <w:tc>
          <w:tcPr>
            <w:tcW w:type="dxa" w:w="2880"/>
          </w:tcPr>
          <w:p>
            <w:r>
              <w:rPr>
                <w:sz w:val="20"/>
              </w:rPr>
              <w:t>2</w:t>
            </w:r>
          </w:p>
        </w:tc>
        <w:tc>
          <w:tcPr>
            <w:tcW w:type="dxa" w:w="2880"/>
          </w:tcPr>
          <w:p>
            <w:r>
              <w:rPr>
                <w:sz w:val="20"/>
              </w:rPr>
              <w:t>Subject</w:t>
            </w:r>
          </w:p>
        </w:tc>
        <w:tc>
          <w:tcPr>
            <w:tcW w:type="dxa" w:w="2880"/>
          </w:tcPr>
          <w:p>
            <w:r>
              <w:rPr>
                <w:sz w:val="20"/>
              </w:rPr>
              <w:t>Subject demographics (age, sex, ID)</w:t>
            </w:r>
          </w:p>
        </w:tc>
      </w:tr>
      <w:tr>
        <w:tc>
          <w:tcPr>
            <w:tcW w:type="dxa" w:w="2880"/>
          </w:tcPr>
          <w:p>
            <w:r>
              <w:rPr>
                <w:sz w:val="20"/>
              </w:rPr>
              <w:t>3</w:t>
            </w:r>
          </w:p>
        </w:tc>
        <w:tc>
          <w:tcPr>
            <w:tcW w:type="dxa" w:w="2880"/>
          </w:tcPr>
          <w:p>
            <w:r>
              <w:rPr>
                <w:sz w:val="20"/>
              </w:rPr>
              <w:t>Diagnosis and Intervention</w:t>
            </w:r>
          </w:p>
        </w:tc>
        <w:tc>
          <w:tcPr>
            <w:tcW w:type="dxa" w:w="2880"/>
          </w:tcPr>
          <w:p>
            <w:r>
              <w:rPr>
                <w:sz w:val="20"/>
              </w:rPr>
              <w:t>Disease stage, diagnosis, treatments</w:t>
            </w:r>
          </w:p>
        </w:tc>
      </w:tr>
      <w:tr>
        <w:tc>
          <w:tcPr>
            <w:tcW w:type="dxa" w:w="2880"/>
          </w:tcPr>
          <w:p>
            <w:r>
              <w:rPr>
                <w:sz w:val="20"/>
              </w:rPr>
              <w:t>4</w:t>
            </w:r>
          </w:p>
        </w:tc>
        <w:tc>
          <w:tcPr>
            <w:tcW w:type="dxa" w:w="2880"/>
          </w:tcPr>
          <w:p>
            <w:r>
              <w:rPr>
                <w:sz w:val="20"/>
              </w:rPr>
              <w:t>Sample</w:t>
            </w:r>
          </w:p>
        </w:tc>
        <w:tc>
          <w:tcPr>
            <w:tcW w:type="dxa" w:w="2880"/>
          </w:tcPr>
          <w:p>
            <w:r>
              <w:rPr>
                <w:sz w:val="20"/>
              </w:rPr>
              <w:t>Sample collection details</w:t>
            </w:r>
          </w:p>
        </w:tc>
      </w:tr>
      <w:tr>
        <w:tc>
          <w:tcPr>
            <w:tcW w:type="dxa" w:w="2880"/>
          </w:tcPr>
          <w:p>
            <w:r>
              <w:rPr>
                <w:sz w:val="20"/>
              </w:rPr>
              <w:t>5</w:t>
            </w:r>
          </w:p>
        </w:tc>
        <w:tc>
          <w:tcPr>
            <w:tcW w:type="dxa" w:w="2880"/>
          </w:tcPr>
          <w:p>
            <w:r>
              <w:rPr>
                <w:sz w:val="20"/>
              </w:rPr>
              <w:t>Process</w:t>
            </w:r>
          </w:p>
        </w:tc>
        <w:tc>
          <w:tcPr>
            <w:tcW w:type="dxa" w:w="2880"/>
          </w:tcPr>
          <w:p>
            <w:r>
              <w:rPr>
                <w:sz w:val="20"/>
              </w:rPr>
              <w:t>Sequencing and processing parameters</w:t>
            </w:r>
          </w:p>
        </w:tc>
      </w:tr>
    </w:tbl>
    <w:p/>
    <w:p>
      <w:pPr>
        <w:pStyle w:val="Heading2"/>
      </w:pPr>
      <w:r>
        <w:rPr>
          <w:color w:val="1A3C6E"/>
        </w:rPr>
        <w:t>2.2 Study Metadata</w:t>
      </w:r>
    </w:p>
    <w:p>
      <w:pPr>
        <w:spacing w:after="120"/>
      </w:pPr>
      <w:r>
        <w:t>Querying /meta/categories/Study returned the following fields and values: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Available Values</w:t>
            </w:r>
          </w:p>
        </w:tc>
      </w:tr>
      <w:tr>
        <w:tc>
          <w:tcPr>
            <w:tcW w:type="dxa" w:w="4320"/>
          </w:tcPr>
          <w:p>
            <w:r>
              <w:rPr>
                <w:sz w:val="20"/>
              </w:rPr>
              <w:t>study_title</w:t>
            </w:r>
          </w:p>
        </w:tc>
        <w:tc>
          <w:tcPr>
            <w:tcW w:type="dxa" w:w="4320"/>
          </w:tcPr>
          <w:p>
            <w:r>
              <w:rPr>
                <w:sz w:val="20"/>
              </w:rPr>
              <w:t>Covid19, covid_vaccine, covid19-2, patterns in COVID-19, covid_vaccine2</w:t>
            </w:r>
          </w:p>
        </w:tc>
      </w:tr>
      <w:tr>
        <w:tc>
          <w:tcPr>
            <w:tcW w:type="dxa" w:w="4320"/>
          </w:tcPr>
          <w:p>
            <w:r>
              <w:rPr>
                <w:sz w:val="20"/>
              </w:rPr>
              <w:t>Relevant publications</w:t>
            </w:r>
          </w:p>
        </w:tc>
        <w:tc>
          <w:tcPr>
            <w:tcW w:type="dxa" w:w="4320"/>
          </w:tcPr>
          <w:p>
            <w:r>
              <w:rPr>
                <w:sz w:val="20"/>
              </w:rPr>
              <w:t>PMID: 32669287, PMID: 33858945, PMID: 33384691, PRJNA839749, PMID: 34648302</w:t>
            </w:r>
          </w:p>
        </w:tc>
      </w:tr>
      <w:tr>
        <w:tc>
          <w:tcPr>
            <w:tcW w:type="dxa" w:w="4320"/>
          </w:tcPr>
          <w:p>
            <w:r>
              <w:rPr>
                <w:sz w:val="20"/>
              </w:rPr>
              <w:t>study_ID</w:t>
            </w:r>
          </w:p>
        </w:tc>
        <w:tc>
          <w:tcPr>
            <w:tcW w:type="dxa" w:w="4320"/>
          </w:tcPr>
          <w:p>
            <w:r>
              <w:rPr>
                <w:sz w:val="20"/>
              </w:rPr>
              <w:t>PRJNA638224</w:t>
            </w:r>
          </w:p>
        </w:tc>
      </w:tr>
      <w:tr>
        <w:tc>
          <w:tcPr>
            <w:tcW w:type="dxa" w:w="4320"/>
          </w:tcPr>
          <w:p>
            <w:r>
              <w:rPr>
                <w:sz w:val="20"/>
              </w:rPr>
              <w:t>lab_name</w:t>
            </w:r>
          </w:p>
        </w:tc>
        <w:tc>
          <w:tcPr>
            <w:tcW w:type="dxa" w:w="4320"/>
          </w:tcPr>
          <w:p>
            <w:r>
              <w:rPr>
                <w:sz w:val="20"/>
              </w:rPr>
              <w:t>poria, Rabin, Shaare Zedek</w:t>
            </w:r>
          </w:p>
        </w:tc>
      </w:tr>
    </w:tbl>
    <w:p/>
    <w:p>
      <w:pPr>
        <w:pStyle w:val="Heading2"/>
      </w:pPr>
      <w:r>
        <w:rPr>
          <w:color w:val="1A3C6E"/>
        </w:rPr>
        <w:t>2.3 Subject Metadata</w:t>
      </w:r>
    </w:p>
    <w:p>
      <w:pPr>
        <w:spacing w:after="120"/>
      </w:pPr>
      <w:r>
        <w:t>Querying /meta/categories/Subject returned the following fields and values: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Available Values</w:t>
            </w:r>
          </w:p>
        </w:tc>
      </w:tr>
      <w:tr>
        <w:tc>
          <w:tcPr>
            <w:tcW w:type="dxa" w:w="4320"/>
          </w:tcPr>
          <w:p>
            <w:r>
              <w:rPr>
                <w:sz w:val="20"/>
              </w:rPr>
            </w:r>
          </w:p>
        </w:tc>
        <w:tc>
          <w:tcPr>
            <w:tcW w:type="dxa" w:w="4320"/>
          </w:tcPr>
          <w:p>
            <w:r>
              <w:rPr>
                <w:sz w:val="20"/>
              </w:rPr>
            </w:r>
          </w:p>
        </w:tc>
      </w:tr>
      <w:tr>
        <w:tc>
          <w:tcPr>
            <w:tcW w:type="dxa" w:w="4320"/>
          </w:tcPr>
          <w:p>
            <w:r>
              <w:rPr>
                <w:sz w:val="20"/>
              </w:rPr>
            </w:r>
          </w:p>
        </w:tc>
        <w:tc>
          <w:tcPr>
            <w:tcW w:type="dxa" w:w="4320"/>
          </w:tcPr>
          <w:p>
            <w:r>
              <w:rPr>
                <w:sz w:val="20"/>
              </w:rPr>
            </w:r>
          </w:p>
        </w:tc>
      </w:tr>
      <w:tr>
        <w:tc>
          <w:tcPr>
            <w:tcW w:type="dxa" w:w="4320"/>
          </w:tcPr>
          <w:p>
            <w:r>
              <w:rPr>
                <w:sz w:val="20"/>
              </w:rPr>
            </w:r>
          </w:p>
        </w:tc>
        <w:tc>
          <w:tcPr>
            <w:tcW w:type="dxa" w:w="4320"/>
          </w:tcPr>
          <w:p>
            <w:r>
              <w:rPr>
                <w:sz w:val="20"/>
              </w:rPr>
            </w:r>
          </w:p>
        </w:tc>
      </w:tr>
    </w:tbl>
    <w:p/>
    <w:p>
      <w:pPr>
        <w:pStyle w:val="Heading2"/>
      </w:pPr>
      <w:r>
        <w:rPr>
          <w:color w:val="1A3C6E"/>
        </w:rPr>
        <w:t>2.4 Diagnosis and Intervention Metadata</w:t>
      </w:r>
    </w:p>
    <w:p>
      <w:pPr>
        <w:spacing w:after="120"/>
      </w:pPr>
      <w:r>
        <w:t>Querying /meta/categories/Diagnosis and Intervention returned the following fields and values: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Available Values</w:t>
            </w:r>
          </w:p>
        </w:tc>
      </w:tr>
      <w:tr>
        <w:tc>
          <w:tcPr>
            <w:tcW w:type="dxa" w:w="4320"/>
          </w:tcPr>
          <w:p>
            <w:r>
              <w:rPr>
                <w:sz w:val="20"/>
              </w:rPr>
            </w:r>
          </w:p>
        </w:tc>
        <w:tc>
          <w:tcPr>
            <w:tcW w:type="dxa" w:w="4320"/>
          </w:tcPr>
          <w:p>
            <w:r>
              <w:rPr>
                <w:sz w:val="20"/>
              </w:rPr>
            </w:r>
          </w:p>
        </w:tc>
      </w:tr>
      <w:tr>
        <w:tc>
          <w:tcPr>
            <w:tcW w:type="dxa" w:w="4320"/>
          </w:tcPr>
          <w:p>
            <w:r>
              <w:rPr>
                <w:sz w:val="20"/>
              </w:rPr>
            </w:r>
          </w:p>
        </w:tc>
        <w:tc>
          <w:tcPr>
            <w:tcW w:type="dxa" w:w="4320"/>
          </w:tcPr>
          <w:p>
            <w:r>
              <w:rPr>
                <w:sz w:val="20"/>
              </w:rPr>
            </w:r>
          </w:p>
        </w:tc>
      </w:tr>
    </w:tbl>
    <w:p/>
    <w:p>
      <w:pPr>
        <w:pStyle w:val="Heading2"/>
      </w:pPr>
      <w:r>
        <w:rPr>
          <w:color w:val="1A3C6E"/>
        </w:rPr>
        <w:t>2.5 Sample Metadata</w:t>
      </w:r>
    </w:p>
    <w:p>
      <w:pPr>
        <w:spacing w:after="120"/>
      </w:pPr>
      <w:r>
        <w:t>Querying /meta/categories/Sample returned the following fields and values: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Available Values</w:t>
            </w:r>
          </w:p>
        </w:tc>
      </w:tr>
      <w:tr>
        <w:tc>
          <w:tcPr>
            <w:tcW w:type="dxa" w:w="4320"/>
          </w:tcPr>
          <w:p>
            <w:r>
              <w:rPr>
                <w:sz w:val="20"/>
              </w:rPr>
            </w:r>
          </w:p>
        </w:tc>
        <w:tc>
          <w:tcPr>
            <w:tcW w:type="dxa" w:w="4320"/>
          </w:tcPr>
          <w:p>
            <w:r>
              <w:rPr>
                <w:sz w:val="20"/>
              </w:rPr>
            </w:r>
          </w:p>
        </w:tc>
      </w:tr>
      <w:tr>
        <w:tc>
          <w:tcPr>
            <w:tcW w:type="dxa" w:w="4320"/>
          </w:tcPr>
          <w:p>
            <w:r>
              <w:rPr>
                <w:sz w:val="20"/>
              </w:rPr>
            </w:r>
          </w:p>
        </w:tc>
        <w:tc>
          <w:tcPr>
            <w:tcW w:type="dxa" w:w="4320"/>
          </w:tcPr>
          <w:p>
            <w:r>
              <w:rPr>
                <w:sz w:val="20"/>
              </w:rPr>
            </w:r>
          </w:p>
        </w:tc>
      </w:tr>
    </w:tbl>
    <w:p/>
    <w:p>
      <w:pPr>
        <w:pStyle w:val="Heading2"/>
      </w:pPr>
      <w:r>
        <w:rPr>
          <w:color w:val="1A3C6E"/>
        </w:rPr>
        <w:t>2.6 Process Metadata</w:t>
      </w:r>
    </w:p>
    <w:p>
      <w:pPr>
        <w:spacing w:after="120"/>
      </w:pPr>
      <w:r>
        <w:t>Querying /meta/categories/process returned the following fields and values: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Available Values</w:t>
            </w:r>
          </w:p>
        </w:tc>
      </w:tr>
      <w:tr>
        <w:tc>
          <w:tcPr>
            <w:tcW w:type="dxa" w:w="4320"/>
          </w:tcPr>
          <w:p>
            <w:r>
              <w:rPr>
                <w:sz w:val="20"/>
              </w:rPr>
            </w:r>
          </w:p>
        </w:tc>
        <w:tc>
          <w:tcPr>
            <w:tcW w:type="dxa" w:w="4320"/>
          </w:tcPr>
          <w:p>
            <w:r>
              <w:rPr>
                <w:sz w:val="20"/>
              </w:rPr>
            </w:r>
          </w:p>
        </w:tc>
      </w:tr>
      <w:tr>
        <w:tc>
          <w:tcPr>
            <w:tcW w:type="dxa" w:w="4320"/>
          </w:tcPr>
          <w:p>
            <w:r>
              <w:rPr>
                <w:sz w:val="20"/>
              </w:rPr>
            </w:r>
          </w:p>
        </w:tc>
        <w:tc>
          <w:tcPr>
            <w:tcW w:type="dxa" w:w="4320"/>
          </w:tcPr>
          <w:p>
            <w:r>
              <w:rPr>
                <w:sz w:val="20"/>
              </w:rPr>
            </w:r>
          </w:p>
        </w:tc>
      </w:tr>
    </w:tbl>
    <w:p/>
    <w:p>
      <w:r>
        <w:br w:type="page"/>
      </w:r>
    </w:p>
    <w:p>
      <w:pPr>
        <w:pStyle w:val="Heading1"/>
      </w:pPr>
      <w:r>
        <w:rPr>
          <w:color w:val="1A3C6E"/>
        </w:rPr>
        <w:t>3. Cohort Characterization</w:t>
      </w:r>
    </w:p>
    <w:p>
      <w:pPr>
        <w:spacing w:after="120"/>
      </w:pPr>
      <w:r>
        <w:t>Using the metadata endpoint, we queried subject-level information stratified by disease stage, sex, and age across the 3 selected COVID-19 datasets. Of the 100 repertoires retrieved, 85 had complete metadata and were included in all downstream analyses.</w:t>
      </w:r>
    </w:p>
    <w:p>
      <w:pPr>
        <w:pStyle w:val="Heading2"/>
      </w:pPr>
      <w:r>
        <w:rPr>
          <w:color w:val="1A3C6E"/>
        </w:rPr>
        <w:t>3.1 Disease Category Distribution</w:t>
      </w:r>
    </w:p>
    <w:p>
      <w:pPr>
        <w:spacing w:after="120"/>
      </w:pPr>
      <w:r>
        <w:t>The raw disease_stage field contained 13 distinct annotations across studies. These were harmonized into 5 biologically meaningful categories: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Raw Disease Stage(s)</w:t>
            </w:r>
          </w:p>
        </w:tc>
        <w:tc>
          <w:tcPr>
            <w:tcW w:type="dxa" w:w="2880"/>
          </w:tcPr>
          <w:p>
            <w:r>
              <w:rPr>
                <w:b/>
                <w:sz w:val="20"/>
              </w:rPr>
              <w:t>Harmonized Category</w:t>
            </w:r>
          </w:p>
        </w:tc>
        <w:tc>
          <w:tcPr>
            <w:tcW w:type="dxa" w:w="2880"/>
          </w:tcPr>
          <w:p>
            <w:r>
              <w:rPr>
                <w:b/>
                <w:sz w:val="20"/>
              </w:rPr>
              <w:t>N</w:t>
            </w:r>
          </w:p>
        </w:tc>
      </w:tr>
      <w:tr>
        <w:tc>
          <w:tcPr>
            <w:tcW w:type="dxa" w:w="2880"/>
          </w:tcPr>
          <w:p>
            <w:r>
              <w:rPr>
                <w:sz w:val="20"/>
              </w:rPr>
              <w:t>COVID Naive</w:t>
            </w:r>
          </w:p>
        </w:tc>
        <w:tc>
          <w:tcPr>
            <w:tcW w:type="dxa" w:w="2880"/>
          </w:tcPr>
          <w:p>
            <w:r>
              <w:rPr>
                <w:sz w:val="20"/>
              </w:rPr>
              <w:t>COVID Naive</w:t>
            </w:r>
          </w:p>
        </w:tc>
        <w:tc>
          <w:tcPr>
            <w:tcW w:type="dxa" w:w="2880"/>
          </w:tcPr>
          <w:p>
            <w:r>
              <w:rPr>
                <w:sz w:val="20"/>
              </w:rPr>
              <w:t>8</w:t>
            </w:r>
          </w:p>
        </w:tc>
      </w:tr>
      <w:tr>
        <w:tc>
          <w:tcPr>
            <w:tcW w:type="dxa" w:w="2880"/>
          </w:tcPr>
          <w:p>
            <w:r>
              <w:rPr>
                <w:sz w:val="20"/>
              </w:rPr>
              <w:t>mild, non-severe</w:t>
            </w:r>
          </w:p>
        </w:tc>
        <w:tc>
          <w:tcPr>
            <w:tcW w:type="dxa" w:w="2880"/>
          </w:tcPr>
          <w:p>
            <w:r>
              <w:rPr>
                <w:sz w:val="20"/>
              </w:rPr>
              <w:t>Mild</w:t>
            </w:r>
          </w:p>
        </w:tc>
        <w:tc>
          <w:tcPr>
            <w:tcW w:type="dxa" w:w="2880"/>
          </w:tcPr>
          <w:p>
            <w:r>
              <w:rPr>
                <w:sz w:val="20"/>
              </w:rPr>
              <w:t>38</w:t>
            </w:r>
          </w:p>
        </w:tc>
      </w:tr>
      <w:tr>
        <w:tc>
          <w:tcPr>
            <w:tcW w:type="dxa" w:w="2880"/>
          </w:tcPr>
          <w:p>
            <w:r>
              <w:rPr>
                <w:sz w:val="20"/>
              </w:rPr>
              <w:t>Early phase-Stable, Early phase-Improving, Recovering...</w:t>
            </w:r>
          </w:p>
        </w:tc>
        <w:tc>
          <w:tcPr>
            <w:tcW w:type="dxa" w:w="2880"/>
          </w:tcPr>
          <w:p>
            <w:r>
              <w:rPr>
                <w:sz w:val="20"/>
              </w:rPr>
              <w:t>Moderate</w:t>
            </w:r>
          </w:p>
        </w:tc>
        <w:tc>
          <w:tcPr>
            <w:tcW w:type="dxa" w:w="2880"/>
          </w:tcPr>
          <w:p>
            <w:r>
              <w:rPr>
                <w:sz w:val="20"/>
              </w:rPr>
              <w:t>9</w:t>
            </w:r>
          </w:p>
        </w:tc>
      </w:tr>
      <w:tr>
        <w:tc>
          <w:tcPr>
            <w:tcW w:type="dxa" w:w="2880"/>
          </w:tcPr>
          <w:p>
            <w:r>
              <w:rPr>
                <w:sz w:val="20"/>
              </w:rPr>
              <w:t>Recovered, COVID recovered, Recovering post-ICU</w:t>
            </w:r>
          </w:p>
        </w:tc>
        <w:tc>
          <w:tcPr>
            <w:tcW w:type="dxa" w:w="2880"/>
          </w:tcPr>
          <w:p>
            <w:r>
              <w:rPr>
                <w:sz w:val="20"/>
              </w:rPr>
              <w:t>Recovered</w:t>
            </w:r>
          </w:p>
        </w:tc>
        <w:tc>
          <w:tcPr>
            <w:tcW w:type="dxa" w:w="2880"/>
          </w:tcPr>
          <w:p>
            <w:r>
              <w:rPr>
                <w:sz w:val="20"/>
              </w:rPr>
              <w:t>12</w:t>
            </w:r>
          </w:p>
        </w:tc>
      </w:tr>
      <w:tr>
        <w:tc>
          <w:tcPr>
            <w:tcW w:type="dxa" w:w="2880"/>
          </w:tcPr>
          <w:p>
            <w:r>
              <w:rPr>
                <w:sz w:val="20"/>
              </w:rPr>
              <w:t>severe, Early phase hypoxaemia</w:t>
            </w:r>
          </w:p>
        </w:tc>
        <w:tc>
          <w:tcPr>
            <w:tcW w:type="dxa" w:w="2880"/>
          </w:tcPr>
          <w:p>
            <w:r>
              <w:rPr>
                <w:sz w:val="20"/>
              </w:rPr>
              <w:t>Severe</w:t>
            </w:r>
          </w:p>
        </w:tc>
        <w:tc>
          <w:tcPr>
            <w:tcW w:type="dxa" w:w="2880"/>
          </w:tcPr>
          <w:p>
            <w:r>
              <w:rPr>
                <w:sz w:val="20"/>
              </w:rPr>
              <w:t>18</w:t>
            </w:r>
          </w:p>
        </w:tc>
      </w:tr>
    </w:tbl>
    <w:p/>
    <w:p>
      <w:pPr>
        <w:spacing w:after="120"/>
      </w:pPr>
      <w:r>
        <w:t>The Mild group is the largest (n=38, 45%), followed by Severe (n=18, 21%), Recovered (n=12, 14%), Moderate (n=9, 11%), and COVID Naive (n=8, 9%).</w:t>
      </w:r>
    </w:p>
    <w:p>
      <w:pPr>
        <w:jc w:val="center"/>
      </w:pPr>
      <w:r>
        <w:rPr>
          <w:i/>
          <w:color w:val="555555"/>
          <w:sz w:val="18"/>
        </w:rPr>
        <w:t>Figure 3.1. Number of subjects per disease category. [See figure file]</w:t>
      </w:r>
    </w:p>
    <w:p>
      <w:pPr>
        <w:pStyle w:val="Heading2"/>
      </w:pPr>
      <w:r>
        <w:rPr>
          <w:color w:val="1A3C6E"/>
        </w:rPr>
        <w:t>3.2 Sex Distribution</w:t>
      </w:r>
    </w:p>
    <w:p>
      <w:pPr>
        <w:spacing w:after="120"/>
      </w:pPr>
      <w:r>
        <w:t>The cohort has a slight male skew: 51 males (60%) and 34 females (40%).</w:t>
      </w:r>
    </w:p>
    <w:p>
      <w:pPr>
        <w:jc w:val="center"/>
      </w:pPr>
      <w:r>
        <w:rPr>
          <w:i/>
          <w:color w:val="555555"/>
          <w:sz w:val="18"/>
        </w:rPr>
        <w:t>Figure 3.2. Number of subjects by sex. [See figure file]</w:t>
      </w:r>
    </w:p>
    <w:p>
      <w:pPr>
        <w:pStyle w:val="Heading2"/>
      </w:pPr>
      <w:r>
        <w:rPr>
          <w:color w:val="1A3C6E"/>
        </w:rPr>
        <w:t>3.3 Age Distribution</w:t>
      </w:r>
    </w:p>
    <w:p>
      <w:pPr>
        <w:spacing w:after="120"/>
      </w:pPr>
      <w:r>
        <w:t>Age ranges from 18 to 88 years (median ~ 55). The cohort skews older, with 59% aged 51+.</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Age Group</w:t>
            </w:r>
          </w:p>
        </w:tc>
        <w:tc>
          <w:tcPr>
            <w:tcW w:type="dxa" w:w="2880"/>
          </w:tcPr>
          <w:p>
            <w:r>
              <w:rPr>
                <w:b/>
                <w:sz w:val="20"/>
              </w:rPr>
              <w:t>N</w:t>
            </w:r>
          </w:p>
        </w:tc>
        <w:tc>
          <w:tcPr>
            <w:tcW w:type="dxa" w:w="2880"/>
          </w:tcPr>
          <w:p>
            <w:r>
              <w:rPr>
                <w:b/>
                <w:sz w:val="20"/>
              </w:rPr>
              <w:t>%</w:t>
            </w:r>
          </w:p>
        </w:tc>
      </w:tr>
      <w:tr>
        <w:tc>
          <w:tcPr>
            <w:tcW w:type="dxa" w:w="2880"/>
          </w:tcPr>
          <w:p>
            <w:r>
              <w:rPr>
                <w:sz w:val="20"/>
              </w:rPr>
              <w:t>18-30</w:t>
            </w:r>
          </w:p>
        </w:tc>
        <w:tc>
          <w:tcPr>
            <w:tcW w:type="dxa" w:w="2880"/>
          </w:tcPr>
          <w:p>
            <w:r>
              <w:rPr>
                <w:sz w:val="20"/>
              </w:rPr>
              <w:t>10</w:t>
            </w:r>
          </w:p>
        </w:tc>
        <w:tc>
          <w:tcPr>
            <w:tcW w:type="dxa" w:w="2880"/>
          </w:tcPr>
          <w:p>
            <w:r>
              <w:rPr>
                <w:sz w:val="20"/>
              </w:rPr>
              <w:t>12%</w:t>
            </w:r>
          </w:p>
        </w:tc>
      </w:tr>
      <w:tr>
        <w:tc>
          <w:tcPr>
            <w:tcW w:type="dxa" w:w="2880"/>
          </w:tcPr>
          <w:p>
            <w:r>
              <w:rPr>
                <w:sz w:val="20"/>
              </w:rPr>
              <w:t>31-50</w:t>
            </w:r>
          </w:p>
        </w:tc>
        <w:tc>
          <w:tcPr>
            <w:tcW w:type="dxa" w:w="2880"/>
          </w:tcPr>
          <w:p>
            <w:r>
              <w:rPr>
                <w:sz w:val="20"/>
              </w:rPr>
              <w:t>25</w:t>
            </w:r>
          </w:p>
        </w:tc>
        <w:tc>
          <w:tcPr>
            <w:tcW w:type="dxa" w:w="2880"/>
          </w:tcPr>
          <w:p>
            <w:r>
              <w:rPr>
                <w:sz w:val="20"/>
              </w:rPr>
              <w:t>29%</w:t>
            </w:r>
          </w:p>
        </w:tc>
      </w:tr>
      <w:tr>
        <w:tc>
          <w:tcPr>
            <w:tcW w:type="dxa" w:w="2880"/>
          </w:tcPr>
          <w:p>
            <w:r>
              <w:rPr>
                <w:sz w:val="20"/>
              </w:rPr>
              <w:t>51-65</w:t>
            </w:r>
          </w:p>
        </w:tc>
        <w:tc>
          <w:tcPr>
            <w:tcW w:type="dxa" w:w="2880"/>
          </w:tcPr>
          <w:p>
            <w:r>
              <w:rPr>
                <w:sz w:val="20"/>
              </w:rPr>
              <w:t>29</w:t>
            </w:r>
          </w:p>
        </w:tc>
        <w:tc>
          <w:tcPr>
            <w:tcW w:type="dxa" w:w="2880"/>
          </w:tcPr>
          <w:p>
            <w:r>
              <w:rPr>
                <w:sz w:val="20"/>
              </w:rPr>
              <w:t>34%</w:t>
            </w:r>
          </w:p>
        </w:tc>
      </w:tr>
      <w:tr>
        <w:tc>
          <w:tcPr>
            <w:tcW w:type="dxa" w:w="2880"/>
          </w:tcPr>
          <w:p>
            <w:r>
              <w:rPr>
                <w:sz w:val="20"/>
              </w:rPr>
              <w:t>66+</w:t>
            </w:r>
          </w:p>
        </w:tc>
        <w:tc>
          <w:tcPr>
            <w:tcW w:type="dxa" w:w="2880"/>
          </w:tcPr>
          <w:p>
            <w:r>
              <w:rPr>
                <w:sz w:val="20"/>
              </w:rPr>
              <w:t>21</w:t>
            </w:r>
          </w:p>
        </w:tc>
        <w:tc>
          <w:tcPr>
            <w:tcW w:type="dxa" w:w="2880"/>
          </w:tcPr>
          <w:p>
            <w:r>
              <w:rPr>
                <w:sz w:val="20"/>
              </w:rPr>
              <w:t>25%</w:t>
            </w:r>
          </w:p>
        </w:tc>
      </w:tr>
    </w:tbl>
    <w:p/>
    <w:p>
      <w:pPr>
        <w:jc w:val="center"/>
      </w:pPr>
      <w:r>
        <w:rPr>
          <w:i/>
          <w:color w:val="555555"/>
          <w:sz w:val="18"/>
        </w:rPr>
        <w:t>Figure 3.3a. Age distribution histogram. [See figure file]</w:t>
      </w:r>
    </w:p>
    <w:p>
      <w:pPr>
        <w:jc w:val="center"/>
      </w:pPr>
      <w:r>
        <w:rPr>
          <w:i/>
          <w:color w:val="555555"/>
          <w:sz w:val="18"/>
        </w:rPr>
        <w:t>Figure 3.3b. Subjects per age group. [See figure file]</w:t>
      </w:r>
    </w:p>
    <w:p>
      <w:pPr>
        <w:pStyle w:val="Heading2"/>
      </w:pPr>
      <w:r>
        <w:rPr>
          <w:color w:val="1A3C6E"/>
        </w:rPr>
        <w:t>3.4 Cross-Stratifications</w:t>
      </w:r>
    </w:p>
    <w:p>
      <w:pPr>
        <w:spacing w:after="120"/>
      </w:pPr>
      <w:r>
        <w:t>Males are overrepresented in Severe (12M vs 6F) and Mild (22M vs 16F) groups. Older participants (51-65, 66+) are concentrated in the Severe group. Disease category confounds with study of origin, which is an important consideration.</w:t>
      </w:r>
    </w:p>
    <w:p>
      <w:pPr>
        <w:jc w:val="center"/>
      </w:pPr>
      <w:r>
        <w:rPr>
          <w:i/>
          <w:color w:val="555555"/>
          <w:sz w:val="18"/>
        </w:rPr>
        <w:t>Figure 3.4a. Disease category by sex. [See figure file]</w:t>
      </w:r>
    </w:p>
    <w:p>
      <w:pPr>
        <w:jc w:val="center"/>
      </w:pPr>
      <w:r>
        <w:rPr>
          <w:i/>
          <w:color w:val="555555"/>
          <w:sz w:val="18"/>
        </w:rPr>
        <w:t>Figure 3.4b. Disease category by age group. [See figure file]</w:t>
      </w:r>
    </w:p>
    <w:p>
      <w:pPr>
        <w:jc w:val="center"/>
      </w:pPr>
      <w:r>
        <w:rPr>
          <w:i/>
          <w:color w:val="555555"/>
          <w:sz w:val="18"/>
        </w:rPr>
        <w:t>Figure 3.4c. Study composition by disease category. [See figure file]</w:t>
      </w:r>
    </w:p>
    <w:p>
      <w:pPr>
        <w:jc w:val="center"/>
      </w:pPr>
      <w:r>
        <w:rPr>
          <w:i/>
          <w:color w:val="555555"/>
          <w:sz w:val="18"/>
        </w:rPr>
        <w:t>Figure 3.4d. Age distribution by disease category (boxplot). [See figure file]</w:t>
      </w:r>
    </w:p>
    <w:p>
      <w:pPr>
        <w:jc w:val="center"/>
      </w:pPr>
      <w:r>
        <w:rPr>
          <w:i/>
          <w:color w:val="555555"/>
          <w:sz w:val="18"/>
        </w:rPr>
        <w:t>Figure 3.4e. Heatmap: disease x age x sex. [See figure file]</w:t>
      </w:r>
    </w:p>
    <w:p>
      <w:r>
        <w:br w:type="page"/>
      </w:r>
    </w:p>
    <w:p>
      <w:pPr>
        <w:pStyle w:val="Heading1"/>
      </w:pPr>
      <w:r>
        <w:rPr>
          <w:color w:val="1A3C6E"/>
        </w:rPr>
        <w:t>4. Statistical Endpoints</w:t>
      </w:r>
    </w:p>
    <w:p>
      <w:pPr>
        <w:spacing w:after="120"/>
      </w:pPr>
      <w:r>
        <w:t>Having characterized the cohort, we next queried the API to discover what statistical analyses are available. The /endpoints endpoint returned the following:</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Endpoint</w:t>
            </w:r>
          </w:p>
        </w:tc>
        <w:tc>
          <w:tcPr>
            <w:tcW w:type="dxa" w:w="2160"/>
          </w:tcPr>
          <w:p>
            <w:r>
              <w:rPr>
                <w:b/>
                <w:sz w:val="20"/>
              </w:rPr>
              <w:t>Description</w:t>
            </w:r>
          </w:p>
        </w:tc>
        <w:tc>
          <w:tcPr>
            <w:tcW w:type="dxa" w:w="2160"/>
          </w:tcPr>
          <w:p>
            <w:r>
              <w:rPr>
                <w:b/>
                <w:sz w:val="20"/>
              </w:rPr>
              <w:t>Metric</w:t>
            </w:r>
          </w:p>
        </w:tc>
      </w:tr>
      <w:tr>
        <w:tc>
          <w:tcPr>
            <w:tcW w:type="dxa" w:w="2160"/>
          </w:tcPr>
          <w:p>
            <w:r>
              <w:rPr>
                <w:sz w:val="20"/>
              </w:rPr>
              <w:t>1</w:t>
            </w:r>
          </w:p>
        </w:tc>
        <w:tc>
          <w:tcPr>
            <w:tcW w:type="dxa" w:w="2160"/>
          </w:tcPr>
          <w:p>
            <w:r>
              <w:rPr>
                <w:sz w:val="20"/>
              </w:rPr>
              <w:t>metaData</w:t>
            </w:r>
          </w:p>
        </w:tc>
        <w:tc>
          <w:tcPr>
            <w:tcW w:type="dxa" w:w="2160"/>
          </w:tcPr>
          <w:p>
            <w:r>
              <w:rPr>
                <w:sz w:val="20"/>
              </w:rPr>
              <w:t>Subject metadata (age, sex, disease stage)</w:t>
            </w:r>
          </w:p>
        </w:tc>
        <w:tc>
          <w:tcPr>
            <w:tcW w:type="dxa" w:w="2160"/>
          </w:tcPr>
          <w:p>
            <w:r>
              <w:rPr>
                <w:sz w:val="20"/>
              </w:rPr>
              <w:t>Counts and distributions</w:t>
            </w:r>
          </w:p>
        </w:tc>
      </w:tr>
      <w:tr>
        <w:tc>
          <w:tcPr>
            <w:tcW w:type="dxa" w:w="2160"/>
          </w:tcPr>
          <w:p>
            <w:r>
              <w:rPr>
                <w:sz w:val="20"/>
              </w:rPr>
              <w:t>2</w:t>
            </w:r>
          </w:p>
        </w:tc>
        <w:tc>
          <w:tcPr>
            <w:tcW w:type="dxa" w:w="2160"/>
          </w:tcPr>
          <w:p>
            <w:r>
              <w:rPr>
                <w:sz w:val="20"/>
              </w:rPr>
              <w:t>clone_count</w:t>
            </w:r>
          </w:p>
        </w:tc>
        <w:tc>
          <w:tcPr>
            <w:tcW w:type="dxa" w:w="2160"/>
          </w:tcPr>
          <w:p>
            <w:r>
              <w:rPr>
                <w:sz w:val="20"/>
              </w:rPr>
              <w:t>Number of unique clones per repertoire</w:t>
            </w:r>
          </w:p>
        </w:tc>
        <w:tc>
          <w:tcPr>
            <w:tcW w:type="dxa" w:w="2160"/>
          </w:tcPr>
          <w:p>
            <w:r>
              <w:rPr>
                <w:sz w:val="20"/>
              </w:rPr>
              <w:t>Clonal diversity</w:t>
            </w:r>
          </w:p>
        </w:tc>
      </w:tr>
      <w:tr>
        <w:tc>
          <w:tcPr>
            <w:tcW w:type="dxa" w:w="2160"/>
          </w:tcPr>
          <w:p>
            <w:r>
              <w:rPr>
                <w:sz w:val="20"/>
              </w:rPr>
              <w:t>3</w:t>
            </w:r>
          </w:p>
        </w:tc>
        <w:tc>
          <w:tcPr>
            <w:tcW w:type="dxa" w:w="2160"/>
          </w:tcPr>
          <w:p>
            <w:r>
              <w:rPr>
                <w:sz w:val="20"/>
              </w:rPr>
              <w:t>CDR3_length</w:t>
            </w:r>
          </w:p>
        </w:tc>
        <w:tc>
          <w:tcPr>
            <w:tcW w:type="dxa" w:w="2160"/>
          </w:tcPr>
          <w:p>
            <w:r>
              <w:rPr>
                <w:sz w:val="20"/>
              </w:rPr>
              <w:t>Average CDR3 amino acid length of top clones</w:t>
            </w:r>
          </w:p>
        </w:tc>
        <w:tc>
          <w:tcPr>
            <w:tcW w:type="dxa" w:w="2160"/>
          </w:tcPr>
          <w:p>
            <w:r>
              <w:rPr>
                <w:sz w:val="20"/>
              </w:rPr>
              <w:t>Structural features</w:t>
            </w:r>
          </w:p>
        </w:tc>
      </w:tr>
      <w:tr>
        <w:tc>
          <w:tcPr>
            <w:tcW w:type="dxa" w:w="2160"/>
          </w:tcPr>
          <w:p>
            <w:r>
              <w:rPr>
                <w:sz w:val="20"/>
              </w:rPr>
              <w:t>4</w:t>
            </w:r>
          </w:p>
        </w:tc>
        <w:tc>
          <w:tcPr>
            <w:tcW w:type="dxa" w:w="2160"/>
          </w:tcPr>
          <w:p>
            <w:r>
              <w:rPr>
                <w:sz w:val="20"/>
              </w:rPr>
              <w:t>mutation</w:t>
            </w:r>
          </w:p>
        </w:tc>
        <w:tc>
          <w:tcPr>
            <w:tcW w:type="dxa" w:w="2160"/>
          </w:tcPr>
          <w:p>
            <w:r>
              <w:rPr>
                <w:sz w:val="20"/>
              </w:rPr>
              <w:t>Somatic hypermutation statistics</w:t>
            </w:r>
          </w:p>
        </w:tc>
        <w:tc>
          <w:tcPr>
            <w:tcW w:type="dxa" w:w="2160"/>
          </w:tcPr>
          <w:p>
            <w:r>
              <w:rPr>
                <w:sz w:val="20"/>
              </w:rPr>
              <w:t>Affinity maturation</w:t>
            </w:r>
          </w:p>
        </w:tc>
      </w:tr>
    </w:tbl>
    <w:p/>
    <w:p>
      <w:pPr>
        <w:spacing w:after="120"/>
      </w:pPr>
      <w:r>
        <w:t>Each endpoint can be further explored using /endpoints/statistics/:type to retrieve the specific statistics available. For the clone_count endpoint, available statistics include clone count, clone size, and top X clone copy fractions.</w:t>
      </w:r>
    </w:p>
    <w:p>
      <w:pPr>
        <w:spacing w:after="120"/>
      </w:pPr>
      <w:r>
        <w:t>The following sections present results from each statistical endpoint, organized by biological theme.</w:t>
      </w:r>
    </w:p>
    <w:p>
      <w:r>
        <w:br w:type="page"/>
      </w:r>
    </w:p>
    <w:p>
      <w:pPr>
        <w:pStyle w:val="Heading1"/>
      </w:pPr>
      <w:r>
        <w:rPr>
          <w:color w:val="1A3C6E"/>
        </w:rPr>
        <w:t>5. Clonal Diversity and Expansion</w:t>
      </w:r>
    </w:p>
    <w:p>
      <w:pPr>
        <w:pStyle w:val="Heading2"/>
      </w:pPr>
      <w:r>
        <w:rPr>
          <w:color w:val="1A3C6E"/>
        </w:rPr>
        <w:t>5.1 Clone Count</w:t>
      </w:r>
    </w:p>
    <w:p>
      <w:pPr>
        <w:spacing w:after="120"/>
      </w:pPr>
      <w:r>
        <w:t>Clone count represents the number of unique B-cell clones identified in each repertoire. Higher clone counts reflect greater clonal diversity.</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Disease Category</w:t>
            </w:r>
          </w:p>
        </w:tc>
        <w:tc>
          <w:tcPr>
            <w:tcW w:type="dxa" w:w="1440"/>
          </w:tcPr>
          <w:p>
            <w:r>
              <w:rPr>
                <w:b/>
                <w:sz w:val="20"/>
              </w:rPr>
              <w:t>N</w:t>
            </w:r>
          </w:p>
        </w:tc>
        <w:tc>
          <w:tcPr>
            <w:tcW w:type="dxa" w:w="1440"/>
          </w:tcPr>
          <w:p>
            <w:r>
              <w:rPr>
                <w:b/>
                <w:sz w:val="20"/>
              </w:rPr>
              <w:t>Median</w:t>
            </w:r>
          </w:p>
        </w:tc>
        <w:tc>
          <w:tcPr>
            <w:tcW w:type="dxa" w:w="1440"/>
          </w:tcPr>
          <w:p>
            <w:r>
              <w:rPr>
                <w:b/>
                <w:sz w:val="20"/>
              </w:rPr>
              <w:t>Mean</w:t>
            </w:r>
          </w:p>
        </w:tc>
        <w:tc>
          <w:tcPr>
            <w:tcW w:type="dxa" w:w="1440"/>
          </w:tcPr>
          <w:p>
            <w:r>
              <w:rPr>
                <w:b/>
                <w:sz w:val="20"/>
              </w:rPr>
              <w:t>Min</w:t>
            </w:r>
          </w:p>
        </w:tc>
        <w:tc>
          <w:tcPr>
            <w:tcW w:type="dxa" w:w="1440"/>
          </w:tcPr>
          <w:p>
            <w:r>
              <w:rPr>
                <w:b/>
                <w:sz w:val="20"/>
              </w:rPr>
              <w:t>Max</w:t>
            </w:r>
          </w:p>
        </w:tc>
      </w:tr>
      <w:tr>
        <w:tc>
          <w:tcPr>
            <w:tcW w:type="dxa" w:w="1440"/>
          </w:tcPr>
          <w:p>
            <w:r>
              <w:rPr>
                <w:sz w:val="20"/>
              </w:rPr>
              <w:t>COVID Naive</w:t>
            </w:r>
          </w:p>
        </w:tc>
        <w:tc>
          <w:tcPr>
            <w:tcW w:type="dxa" w:w="1440"/>
          </w:tcPr>
          <w:p>
            <w:r>
              <w:rPr>
                <w:sz w:val="20"/>
              </w:rPr>
              <w:t>8</w:t>
            </w:r>
          </w:p>
        </w:tc>
        <w:tc>
          <w:tcPr>
            <w:tcW w:type="dxa" w:w="1440"/>
          </w:tcPr>
          <w:p>
            <w:r>
              <w:rPr>
                <w:sz w:val="20"/>
              </w:rPr>
              <w:t>16,682</w:t>
            </w:r>
          </w:p>
        </w:tc>
        <w:tc>
          <w:tcPr>
            <w:tcW w:type="dxa" w:w="1440"/>
          </w:tcPr>
          <w:p>
            <w:r>
              <w:rPr>
                <w:sz w:val="20"/>
              </w:rPr>
              <w:t>18,086</w:t>
            </w:r>
          </w:p>
        </w:tc>
        <w:tc>
          <w:tcPr>
            <w:tcW w:type="dxa" w:w="1440"/>
          </w:tcPr>
          <w:p>
            <w:r>
              <w:rPr>
                <w:sz w:val="20"/>
              </w:rPr>
              <w:t>8,156</w:t>
            </w:r>
          </w:p>
        </w:tc>
        <w:tc>
          <w:tcPr>
            <w:tcW w:type="dxa" w:w="1440"/>
          </w:tcPr>
          <w:p>
            <w:r>
              <w:rPr>
                <w:sz w:val="20"/>
              </w:rPr>
              <w:t>29,178</w:t>
            </w:r>
          </w:p>
        </w:tc>
      </w:tr>
      <w:tr>
        <w:tc>
          <w:tcPr>
            <w:tcW w:type="dxa" w:w="1440"/>
          </w:tcPr>
          <w:p>
            <w:r>
              <w:rPr>
                <w:sz w:val="20"/>
              </w:rPr>
              <w:t>Mild</w:t>
            </w:r>
          </w:p>
        </w:tc>
        <w:tc>
          <w:tcPr>
            <w:tcW w:type="dxa" w:w="1440"/>
          </w:tcPr>
          <w:p>
            <w:r>
              <w:rPr>
                <w:sz w:val="20"/>
              </w:rPr>
              <w:t>38</w:t>
            </w:r>
          </w:p>
        </w:tc>
        <w:tc>
          <w:tcPr>
            <w:tcW w:type="dxa" w:w="1440"/>
          </w:tcPr>
          <w:p>
            <w:r>
              <w:rPr>
                <w:sz w:val="20"/>
              </w:rPr>
              <w:t>2,353</w:t>
            </w:r>
          </w:p>
        </w:tc>
        <w:tc>
          <w:tcPr>
            <w:tcW w:type="dxa" w:w="1440"/>
          </w:tcPr>
          <w:p>
            <w:r>
              <w:rPr>
                <w:sz w:val="20"/>
              </w:rPr>
              <w:t>2,593</w:t>
            </w:r>
          </w:p>
        </w:tc>
        <w:tc>
          <w:tcPr>
            <w:tcW w:type="dxa" w:w="1440"/>
          </w:tcPr>
          <w:p>
            <w:r>
              <w:rPr>
                <w:sz w:val="20"/>
              </w:rPr>
              <w:t>95</w:t>
            </w:r>
          </w:p>
        </w:tc>
        <w:tc>
          <w:tcPr>
            <w:tcW w:type="dxa" w:w="1440"/>
          </w:tcPr>
          <w:p>
            <w:r>
              <w:rPr>
                <w:sz w:val="20"/>
              </w:rPr>
              <w:t>5,997</w:t>
            </w:r>
          </w:p>
        </w:tc>
      </w:tr>
      <w:tr>
        <w:tc>
          <w:tcPr>
            <w:tcW w:type="dxa" w:w="1440"/>
          </w:tcPr>
          <w:p>
            <w:r>
              <w:rPr>
                <w:sz w:val="20"/>
              </w:rPr>
              <w:t>Moderate</w:t>
            </w:r>
          </w:p>
        </w:tc>
        <w:tc>
          <w:tcPr>
            <w:tcW w:type="dxa" w:w="1440"/>
          </w:tcPr>
          <w:p>
            <w:r>
              <w:rPr>
                <w:sz w:val="20"/>
              </w:rPr>
              <w:t>9</w:t>
            </w:r>
          </w:p>
        </w:tc>
        <w:tc>
          <w:tcPr>
            <w:tcW w:type="dxa" w:w="1440"/>
          </w:tcPr>
          <w:p>
            <w:r>
              <w:rPr>
                <w:sz w:val="20"/>
              </w:rPr>
              <w:t>5,085</w:t>
            </w:r>
          </w:p>
        </w:tc>
        <w:tc>
          <w:tcPr>
            <w:tcW w:type="dxa" w:w="1440"/>
          </w:tcPr>
          <w:p>
            <w:r>
              <w:rPr>
                <w:sz w:val="20"/>
              </w:rPr>
              <w:t>9,327</w:t>
            </w:r>
          </w:p>
        </w:tc>
        <w:tc>
          <w:tcPr>
            <w:tcW w:type="dxa" w:w="1440"/>
          </w:tcPr>
          <w:p>
            <w:r>
              <w:rPr>
                <w:sz w:val="20"/>
              </w:rPr>
              <w:t>3,459</w:t>
            </w:r>
          </w:p>
        </w:tc>
        <w:tc>
          <w:tcPr>
            <w:tcW w:type="dxa" w:w="1440"/>
          </w:tcPr>
          <w:p>
            <w:r>
              <w:rPr>
                <w:sz w:val="20"/>
              </w:rPr>
              <w:t>22,480</w:t>
            </w:r>
          </w:p>
        </w:tc>
      </w:tr>
      <w:tr>
        <w:tc>
          <w:tcPr>
            <w:tcW w:type="dxa" w:w="1440"/>
          </w:tcPr>
          <w:p>
            <w:r>
              <w:rPr>
                <w:sz w:val="20"/>
              </w:rPr>
              <w:t>Recovered</w:t>
            </w:r>
          </w:p>
        </w:tc>
        <w:tc>
          <w:tcPr>
            <w:tcW w:type="dxa" w:w="1440"/>
          </w:tcPr>
          <w:p>
            <w:r>
              <w:rPr>
                <w:sz w:val="20"/>
              </w:rPr>
              <w:t>12</w:t>
            </w:r>
          </w:p>
        </w:tc>
        <w:tc>
          <w:tcPr>
            <w:tcW w:type="dxa" w:w="1440"/>
          </w:tcPr>
          <w:p>
            <w:r>
              <w:rPr>
                <w:sz w:val="20"/>
              </w:rPr>
              <w:t>21,527</w:t>
            </w:r>
          </w:p>
        </w:tc>
        <w:tc>
          <w:tcPr>
            <w:tcW w:type="dxa" w:w="1440"/>
          </w:tcPr>
          <w:p>
            <w:r>
              <w:rPr>
                <w:sz w:val="20"/>
              </w:rPr>
              <w:t>19,661</w:t>
            </w:r>
          </w:p>
        </w:tc>
        <w:tc>
          <w:tcPr>
            <w:tcW w:type="dxa" w:w="1440"/>
          </w:tcPr>
          <w:p>
            <w:r>
              <w:rPr>
                <w:sz w:val="20"/>
              </w:rPr>
              <w:t>5,713</w:t>
            </w:r>
          </w:p>
        </w:tc>
        <w:tc>
          <w:tcPr>
            <w:tcW w:type="dxa" w:w="1440"/>
          </w:tcPr>
          <w:p>
            <w:r>
              <w:rPr>
                <w:sz w:val="20"/>
              </w:rPr>
              <w:t>33,699</w:t>
            </w:r>
          </w:p>
        </w:tc>
      </w:tr>
      <w:tr>
        <w:tc>
          <w:tcPr>
            <w:tcW w:type="dxa" w:w="1440"/>
          </w:tcPr>
          <w:p>
            <w:r>
              <w:rPr>
                <w:sz w:val="20"/>
              </w:rPr>
              <w:t>Severe</w:t>
            </w:r>
          </w:p>
        </w:tc>
        <w:tc>
          <w:tcPr>
            <w:tcW w:type="dxa" w:w="1440"/>
          </w:tcPr>
          <w:p>
            <w:r>
              <w:rPr>
                <w:sz w:val="20"/>
              </w:rPr>
              <w:t>18</w:t>
            </w:r>
          </w:p>
        </w:tc>
        <w:tc>
          <w:tcPr>
            <w:tcW w:type="dxa" w:w="1440"/>
          </w:tcPr>
          <w:p>
            <w:r>
              <w:rPr>
                <w:sz w:val="20"/>
              </w:rPr>
              <w:t>3,423</w:t>
            </w:r>
          </w:p>
        </w:tc>
        <w:tc>
          <w:tcPr>
            <w:tcW w:type="dxa" w:w="1440"/>
          </w:tcPr>
          <w:p>
            <w:r>
              <w:rPr>
                <w:sz w:val="20"/>
              </w:rPr>
              <w:t>6,782</w:t>
            </w:r>
          </w:p>
        </w:tc>
        <w:tc>
          <w:tcPr>
            <w:tcW w:type="dxa" w:w="1440"/>
          </w:tcPr>
          <w:p>
            <w:r>
              <w:rPr>
                <w:sz w:val="20"/>
              </w:rPr>
              <w:t>1,319</w:t>
            </w:r>
          </w:p>
        </w:tc>
        <w:tc>
          <w:tcPr>
            <w:tcW w:type="dxa" w:w="1440"/>
          </w:tcPr>
          <w:p>
            <w:r>
              <w:rPr>
                <w:sz w:val="20"/>
              </w:rPr>
              <w:t>22,452</w:t>
            </w:r>
          </w:p>
        </w:tc>
      </w:tr>
    </w:tbl>
    <w:p/>
    <w:p>
      <w:pPr>
        <w:spacing w:after="120"/>
      </w:pPr>
      <w:r>
        <w:rPr>
          <w:b/>
        </w:rPr>
        <w:t xml:space="preserve">Key finding: </w:t>
      </w:r>
      <w:r>
        <w:t>Recovered and COVID Naive individuals have the highest clone counts (median ~17K-22K), suggesting greater clonal diversity. Mild cases have the lowest (median ~2,350), likely reflecting differences in sequencing depth across studies.</w:t>
      </w:r>
    </w:p>
    <w:p>
      <w:pPr>
        <w:jc w:val="center"/>
      </w:pPr>
      <w:r>
        <w:rPr>
          <w:i/>
          <w:color w:val="555555"/>
          <w:sz w:val="18"/>
        </w:rPr>
        <w:t>Figure 5.1a. Clone count by disease category. [See figure file]</w:t>
      </w:r>
    </w:p>
    <w:p>
      <w:pPr>
        <w:jc w:val="center"/>
      </w:pPr>
      <w:r>
        <w:rPr>
          <w:i/>
          <w:color w:val="555555"/>
          <w:sz w:val="18"/>
        </w:rPr>
        <w:t>Figure 5.1b. Clone count by sex. [See figure file]</w:t>
      </w:r>
    </w:p>
    <w:p>
      <w:pPr>
        <w:jc w:val="center"/>
      </w:pPr>
      <w:r>
        <w:rPr>
          <w:i/>
          <w:color w:val="555555"/>
          <w:sz w:val="18"/>
        </w:rPr>
        <w:t>Figure 5.1c. Clone count by age group. [See figure file]</w:t>
      </w:r>
    </w:p>
    <w:p>
      <w:pPr>
        <w:jc w:val="center"/>
      </w:pPr>
      <w:r>
        <w:rPr>
          <w:i/>
          <w:color w:val="555555"/>
          <w:sz w:val="18"/>
        </w:rPr>
        <w:t>Figure 5.1d. Clone count by disease x sex. [See figure file]</w:t>
      </w:r>
    </w:p>
    <w:p>
      <w:pPr>
        <w:jc w:val="center"/>
      </w:pPr>
      <w:r>
        <w:rPr>
          <w:i/>
          <w:color w:val="555555"/>
          <w:sz w:val="18"/>
        </w:rPr>
        <w:t>Figure 5.1e. Clone count by disease x age. [See figure file]</w:t>
      </w:r>
    </w:p>
    <w:p>
      <w:pPr>
        <w:pStyle w:val="Heading2"/>
      </w:pPr>
      <w:r>
        <w:rPr>
          <w:color w:val="1A3C6E"/>
        </w:rPr>
        <w:t>5.2 Clone Size</w:t>
      </w:r>
    </w:p>
    <w:p>
      <w:pPr>
        <w:spacing w:after="120"/>
      </w:pPr>
      <w:r>
        <w:t>Clone size represents the mean number of sequences per clone within each repertoire. Larger clone sizes indicate greater clonal expansion.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Disease Category</w:t>
            </w:r>
          </w:p>
        </w:tc>
        <w:tc>
          <w:tcPr>
            <w:tcW w:type="dxa" w:w="2160"/>
          </w:tcPr>
          <w:p>
            <w:r>
              <w:rPr>
                <w:b/>
                <w:sz w:val="20"/>
              </w:rPr>
              <w:t>N</w:t>
            </w:r>
          </w:p>
        </w:tc>
        <w:tc>
          <w:tcPr>
            <w:tcW w:type="dxa" w:w="2160"/>
          </w:tcPr>
          <w:p>
            <w:r>
              <w:rPr>
                <w:b/>
                <w:sz w:val="20"/>
              </w:rPr>
              <w:t>Median (Mean CS)</w:t>
            </w:r>
          </w:p>
        </w:tc>
        <w:tc>
          <w:tcPr>
            <w:tcW w:type="dxa" w:w="2160"/>
          </w:tcPr>
          <w:p>
            <w:r>
              <w:rPr>
                <w:b/>
                <w:sz w:val="20"/>
              </w:rPr>
              <w:t>Mean (Mean CS)</w:t>
            </w:r>
          </w:p>
        </w:tc>
      </w:tr>
      <w:tr>
        <w:tc>
          <w:tcPr>
            <w:tcW w:type="dxa" w:w="2160"/>
          </w:tcPr>
          <w:p>
            <w:r>
              <w:rPr>
                <w:sz w:val="20"/>
              </w:rPr>
              <w:t>COVID Naive</w:t>
            </w:r>
          </w:p>
        </w:tc>
        <w:tc>
          <w:tcPr>
            <w:tcW w:type="dxa" w:w="2160"/>
          </w:tcPr>
          <w:p>
            <w:r>
              <w:rPr>
                <w:sz w:val="20"/>
              </w:rPr>
              <w:t>8</w:t>
            </w:r>
          </w:p>
        </w:tc>
        <w:tc>
          <w:tcPr>
            <w:tcW w:type="dxa" w:w="2160"/>
          </w:tcPr>
          <w:p>
            <w:r>
              <w:rPr>
                <w:sz w:val="20"/>
              </w:rPr>
              <w:t>114.0</w:t>
            </w:r>
          </w:p>
        </w:tc>
        <w:tc>
          <w:tcPr>
            <w:tcW w:type="dxa" w:w="2160"/>
          </w:tcPr>
          <w:p>
            <w:r>
              <w:rPr>
                <w:sz w:val="20"/>
              </w:rPr>
              <w:t>126.0</w:t>
            </w:r>
          </w:p>
        </w:tc>
      </w:tr>
      <w:tr>
        <w:tc>
          <w:tcPr>
            <w:tcW w:type="dxa" w:w="2160"/>
          </w:tcPr>
          <w:p>
            <w:r>
              <w:rPr>
                <w:sz w:val="20"/>
              </w:rPr>
              <w:t>Mild</w:t>
            </w:r>
          </w:p>
        </w:tc>
        <w:tc>
          <w:tcPr>
            <w:tcW w:type="dxa" w:w="2160"/>
          </w:tcPr>
          <w:p>
            <w:r>
              <w:rPr>
                <w:sz w:val="20"/>
              </w:rPr>
              <w:t>38</w:t>
            </w:r>
          </w:p>
        </w:tc>
        <w:tc>
          <w:tcPr>
            <w:tcW w:type="dxa" w:w="2160"/>
          </w:tcPr>
          <w:p>
            <w:r>
              <w:rPr>
                <w:sz w:val="20"/>
              </w:rPr>
              <w:t>36.4</w:t>
            </w:r>
          </w:p>
        </w:tc>
        <w:tc>
          <w:tcPr>
            <w:tcW w:type="dxa" w:w="2160"/>
          </w:tcPr>
          <w:p>
            <w:r>
              <w:rPr>
                <w:sz w:val="20"/>
              </w:rPr>
              <w:t>48.5</w:t>
            </w:r>
          </w:p>
        </w:tc>
      </w:tr>
      <w:tr>
        <w:tc>
          <w:tcPr>
            <w:tcW w:type="dxa" w:w="2160"/>
          </w:tcPr>
          <w:p>
            <w:r>
              <w:rPr>
                <w:sz w:val="20"/>
              </w:rPr>
              <w:t>Moderate</w:t>
            </w:r>
          </w:p>
        </w:tc>
        <w:tc>
          <w:tcPr>
            <w:tcW w:type="dxa" w:w="2160"/>
          </w:tcPr>
          <w:p>
            <w:r>
              <w:rPr>
                <w:sz w:val="20"/>
              </w:rPr>
              <w:t>9</w:t>
            </w:r>
          </w:p>
        </w:tc>
        <w:tc>
          <w:tcPr>
            <w:tcW w:type="dxa" w:w="2160"/>
          </w:tcPr>
          <w:p>
            <w:r>
              <w:rPr>
                <w:sz w:val="20"/>
              </w:rPr>
              <w:t>63.5</w:t>
            </w:r>
          </w:p>
        </w:tc>
        <w:tc>
          <w:tcPr>
            <w:tcW w:type="dxa" w:w="2160"/>
          </w:tcPr>
          <w:p>
            <w:r>
              <w:rPr>
                <w:sz w:val="20"/>
              </w:rPr>
              <w:t>60.0</w:t>
            </w:r>
          </w:p>
        </w:tc>
      </w:tr>
      <w:tr>
        <w:tc>
          <w:tcPr>
            <w:tcW w:type="dxa" w:w="2160"/>
          </w:tcPr>
          <w:p>
            <w:r>
              <w:rPr>
                <w:sz w:val="20"/>
              </w:rPr>
              <w:t>Recovered</w:t>
            </w:r>
          </w:p>
        </w:tc>
        <w:tc>
          <w:tcPr>
            <w:tcW w:type="dxa" w:w="2160"/>
          </w:tcPr>
          <w:p>
            <w:r>
              <w:rPr>
                <w:sz w:val="20"/>
              </w:rPr>
              <w:t>12</w:t>
            </w:r>
          </w:p>
        </w:tc>
        <w:tc>
          <w:tcPr>
            <w:tcW w:type="dxa" w:w="2160"/>
          </w:tcPr>
          <w:p>
            <w:r>
              <w:rPr>
                <w:sz w:val="20"/>
              </w:rPr>
              <w:t>66.9</w:t>
            </w:r>
          </w:p>
        </w:tc>
        <w:tc>
          <w:tcPr>
            <w:tcW w:type="dxa" w:w="2160"/>
          </w:tcPr>
          <w:p>
            <w:r>
              <w:rPr>
                <w:sz w:val="20"/>
              </w:rPr>
              <w:t>79.3</w:t>
            </w:r>
          </w:p>
        </w:tc>
      </w:tr>
      <w:tr>
        <w:tc>
          <w:tcPr>
            <w:tcW w:type="dxa" w:w="2160"/>
          </w:tcPr>
          <w:p>
            <w:r>
              <w:rPr>
                <w:sz w:val="20"/>
              </w:rPr>
              <w:t>Severe</w:t>
            </w:r>
          </w:p>
        </w:tc>
        <w:tc>
          <w:tcPr>
            <w:tcW w:type="dxa" w:w="2160"/>
          </w:tcPr>
          <w:p>
            <w:r>
              <w:rPr>
                <w:sz w:val="20"/>
              </w:rPr>
              <w:t>18</w:t>
            </w:r>
          </w:p>
        </w:tc>
        <w:tc>
          <w:tcPr>
            <w:tcW w:type="dxa" w:w="2160"/>
          </w:tcPr>
          <w:p>
            <w:r>
              <w:rPr>
                <w:sz w:val="20"/>
              </w:rPr>
              <w:t>53.4</w:t>
            </w:r>
          </w:p>
        </w:tc>
        <w:tc>
          <w:tcPr>
            <w:tcW w:type="dxa" w:w="2160"/>
          </w:tcPr>
          <w:p>
            <w:r>
              <w:rPr>
                <w:sz w:val="20"/>
              </w:rPr>
              <w:t>52.0</w:t>
            </w:r>
          </w:p>
        </w:tc>
      </w:tr>
    </w:tbl>
    <w:p/>
    <w:p>
      <w:pPr>
        <w:spacing w:after="120"/>
      </w:pPr>
      <w:r>
        <w:rPr>
          <w:b/>
        </w:rPr>
        <w:t xml:space="preserve">Key finding: </w:t>
      </w:r>
      <w:r>
        <w:t>COVID Naive individuals show the highest mean clone size (median 114), 3x higher than Mild cases (36.4). Severe and Moderate groups show intermediate expansion.</w:t>
      </w:r>
    </w:p>
    <w:p>
      <w:pPr>
        <w:jc w:val="center"/>
      </w:pPr>
      <w:r>
        <w:rPr>
          <w:i/>
          <w:color w:val="555555"/>
          <w:sz w:val="18"/>
        </w:rPr>
        <w:t>Figure 5.2a. Mean clone size by disease category. [See figure file]</w:t>
      </w:r>
    </w:p>
    <w:p>
      <w:pPr>
        <w:jc w:val="center"/>
      </w:pPr>
      <w:r>
        <w:rPr>
          <w:i/>
          <w:color w:val="555555"/>
          <w:sz w:val="18"/>
        </w:rPr>
        <w:t>Figure 5.2b. Mean clone size by sex. [See figure file]</w:t>
      </w:r>
    </w:p>
    <w:p>
      <w:pPr>
        <w:jc w:val="center"/>
      </w:pPr>
      <w:r>
        <w:rPr>
          <w:i/>
          <w:color w:val="555555"/>
          <w:sz w:val="18"/>
        </w:rPr>
        <w:t>Figure 5.2c. Mean clone size by age group. [See figure file]</w:t>
      </w:r>
    </w:p>
    <w:p>
      <w:pPr>
        <w:jc w:val="center"/>
      </w:pPr>
      <w:r>
        <w:rPr>
          <w:i/>
          <w:color w:val="555555"/>
          <w:sz w:val="18"/>
        </w:rPr>
        <w:t>Figure 5.2d. Mean clone size by disease x sex. [See figure file]</w:t>
      </w:r>
    </w:p>
    <w:p>
      <w:r>
        <w:br w:type="page"/>
      </w:r>
    </w:p>
    <w:p>
      <w:pPr>
        <w:pStyle w:val="Heading1"/>
      </w:pPr>
      <w:r>
        <w:rPr>
          <w:color w:val="1A3C6E"/>
        </w:rPr>
        <w:t>6. Repertoire Dominance</w:t>
      </w:r>
    </w:p>
    <w:p>
      <w:pPr>
        <w:pStyle w:val="Heading2"/>
      </w:pPr>
      <w:r>
        <w:rPr>
          <w:color w:val="1A3C6E"/>
        </w:rPr>
        <w:t>6.1 Top X Clone Fraction</w:t>
      </w:r>
    </w:p>
    <w:p>
      <w:pPr>
        <w:spacing w:after="120"/>
      </w:pPr>
      <w:r>
        <w:t>The top X clone fraction measures the proportion of total sequence copies accounted for by the top 10, 100, or 1,000 clones. Higher fractions indicate greater oligoclonal dominance.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Disease Category</w:t>
            </w:r>
          </w:p>
        </w:tc>
        <w:tc>
          <w:tcPr>
            <w:tcW w:type="dxa" w:w="1728"/>
          </w:tcPr>
          <w:p>
            <w:r>
              <w:rPr>
                <w:b/>
                <w:sz w:val="20"/>
              </w:rPr>
              <w:t>N</w:t>
            </w:r>
          </w:p>
        </w:tc>
        <w:tc>
          <w:tcPr>
            <w:tcW w:type="dxa" w:w="1728"/>
          </w:tcPr>
          <w:p>
            <w:r>
              <w:rPr>
                <w:b/>
                <w:sz w:val="20"/>
              </w:rPr>
              <w:t>Top 10 (median)</w:t>
            </w:r>
          </w:p>
        </w:tc>
        <w:tc>
          <w:tcPr>
            <w:tcW w:type="dxa" w:w="1728"/>
          </w:tcPr>
          <w:p>
            <w:r>
              <w:rPr>
                <w:b/>
                <w:sz w:val="20"/>
              </w:rPr>
              <w:t>Top 100 (median)</w:t>
            </w:r>
          </w:p>
        </w:tc>
        <w:tc>
          <w:tcPr>
            <w:tcW w:type="dxa" w:w="1728"/>
          </w:tcPr>
          <w:p>
            <w:r>
              <w:rPr>
                <w:b/>
                <w:sz w:val="20"/>
              </w:rPr>
              <w:t>Top 1000 (median)</w:t>
            </w:r>
          </w:p>
        </w:tc>
      </w:tr>
      <w:tr>
        <w:tc>
          <w:tcPr>
            <w:tcW w:type="dxa" w:w="1728"/>
          </w:tcPr>
          <w:p>
            <w:r>
              <w:rPr>
                <w:sz w:val="20"/>
              </w:rPr>
              <w:t>COVID Naive</w:t>
            </w:r>
          </w:p>
        </w:tc>
        <w:tc>
          <w:tcPr>
            <w:tcW w:type="dxa" w:w="1728"/>
          </w:tcPr>
          <w:p>
            <w:r>
              <w:rPr>
                <w:sz w:val="20"/>
              </w:rPr>
              <w:t>8</w:t>
            </w:r>
          </w:p>
        </w:tc>
        <w:tc>
          <w:tcPr>
            <w:tcW w:type="dxa" w:w="1728"/>
          </w:tcPr>
          <w:p>
            <w:r>
              <w:rPr>
                <w:sz w:val="20"/>
              </w:rPr>
              <w:t>14.4%</w:t>
            </w:r>
          </w:p>
        </w:tc>
        <w:tc>
          <w:tcPr>
            <w:tcW w:type="dxa" w:w="1728"/>
          </w:tcPr>
          <w:p>
            <w:r>
              <w:rPr>
                <w:sz w:val="20"/>
              </w:rPr>
              <w:t>61.0%</w:t>
            </w:r>
          </w:p>
        </w:tc>
        <w:tc>
          <w:tcPr>
            <w:tcW w:type="dxa" w:w="1728"/>
          </w:tcPr>
          <w:p>
            <w:r>
              <w:rPr>
                <w:sz w:val="20"/>
              </w:rPr>
              <w:t>83.3%</w:t>
            </w:r>
          </w:p>
        </w:tc>
      </w:tr>
      <w:tr>
        <w:tc>
          <w:tcPr>
            <w:tcW w:type="dxa" w:w="1728"/>
          </w:tcPr>
          <w:p>
            <w:r>
              <w:rPr>
                <w:sz w:val="20"/>
              </w:rPr>
              <w:t>Mild</w:t>
            </w:r>
          </w:p>
        </w:tc>
        <w:tc>
          <w:tcPr>
            <w:tcW w:type="dxa" w:w="1728"/>
          </w:tcPr>
          <w:p>
            <w:r>
              <w:rPr>
                <w:sz w:val="20"/>
              </w:rPr>
              <w:t>38</w:t>
            </w:r>
          </w:p>
        </w:tc>
        <w:tc>
          <w:tcPr>
            <w:tcW w:type="dxa" w:w="1728"/>
          </w:tcPr>
          <w:p>
            <w:r>
              <w:rPr>
                <w:sz w:val="20"/>
              </w:rPr>
              <w:t>10.5%</w:t>
            </w:r>
          </w:p>
        </w:tc>
        <w:tc>
          <w:tcPr>
            <w:tcW w:type="dxa" w:w="1728"/>
          </w:tcPr>
          <w:p>
            <w:r>
              <w:rPr>
                <w:sz w:val="20"/>
              </w:rPr>
              <w:t>30.4%</w:t>
            </w:r>
          </w:p>
        </w:tc>
        <w:tc>
          <w:tcPr>
            <w:tcW w:type="dxa" w:w="1728"/>
          </w:tcPr>
          <w:p>
            <w:r>
              <w:rPr>
                <w:sz w:val="20"/>
              </w:rPr>
              <w:t>72.7%</w:t>
            </w:r>
          </w:p>
        </w:tc>
      </w:tr>
      <w:tr>
        <w:tc>
          <w:tcPr>
            <w:tcW w:type="dxa" w:w="1728"/>
          </w:tcPr>
          <w:p>
            <w:r>
              <w:rPr>
                <w:sz w:val="20"/>
              </w:rPr>
              <w:t>Moderate</w:t>
            </w:r>
          </w:p>
        </w:tc>
        <w:tc>
          <w:tcPr>
            <w:tcW w:type="dxa" w:w="1728"/>
          </w:tcPr>
          <w:p>
            <w:r>
              <w:rPr>
                <w:sz w:val="20"/>
              </w:rPr>
              <w:t>9</w:t>
            </w:r>
          </w:p>
        </w:tc>
        <w:tc>
          <w:tcPr>
            <w:tcW w:type="dxa" w:w="1728"/>
          </w:tcPr>
          <w:p>
            <w:r>
              <w:rPr>
                <w:sz w:val="20"/>
              </w:rPr>
              <w:t>22.6%</w:t>
            </w:r>
          </w:p>
        </w:tc>
        <w:tc>
          <w:tcPr>
            <w:tcW w:type="dxa" w:w="1728"/>
          </w:tcPr>
          <w:p>
            <w:r>
              <w:rPr>
                <w:sz w:val="20"/>
              </w:rPr>
              <w:t>45.5%</w:t>
            </w:r>
          </w:p>
        </w:tc>
        <w:tc>
          <w:tcPr>
            <w:tcW w:type="dxa" w:w="1728"/>
          </w:tcPr>
          <w:p>
            <w:r>
              <w:rPr>
                <w:sz w:val="20"/>
              </w:rPr>
              <w:t>74.1%</w:t>
            </w:r>
          </w:p>
        </w:tc>
      </w:tr>
      <w:tr>
        <w:tc>
          <w:tcPr>
            <w:tcW w:type="dxa" w:w="1728"/>
          </w:tcPr>
          <w:p>
            <w:r>
              <w:rPr>
                <w:sz w:val="20"/>
              </w:rPr>
              <w:t>Recovered</w:t>
            </w:r>
          </w:p>
        </w:tc>
        <w:tc>
          <w:tcPr>
            <w:tcW w:type="dxa" w:w="1728"/>
          </w:tcPr>
          <w:p>
            <w:r>
              <w:rPr>
                <w:sz w:val="20"/>
              </w:rPr>
              <w:t>12</w:t>
            </w:r>
          </w:p>
        </w:tc>
        <w:tc>
          <w:tcPr>
            <w:tcW w:type="dxa" w:w="1728"/>
          </w:tcPr>
          <w:p>
            <w:r>
              <w:rPr>
                <w:sz w:val="20"/>
              </w:rPr>
              <w:t>16.2%</w:t>
            </w:r>
          </w:p>
        </w:tc>
        <w:tc>
          <w:tcPr>
            <w:tcW w:type="dxa" w:w="1728"/>
          </w:tcPr>
          <w:p>
            <w:r>
              <w:rPr>
                <w:sz w:val="20"/>
              </w:rPr>
              <w:t>40.3%</w:t>
            </w:r>
          </w:p>
        </w:tc>
        <w:tc>
          <w:tcPr>
            <w:tcW w:type="dxa" w:w="1728"/>
          </w:tcPr>
          <w:p>
            <w:r>
              <w:rPr>
                <w:sz w:val="20"/>
              </w:rPr>
              <w:t>76.9%</w:t>
            </w:r>
          </w:p>
        </w:tc>
      </w:tr>
      <w:tr>
        <w:tc>
          <w:tcPr>
            <w:tcW w:type="dxa" w:w="1728"/>
          </w:tcPr>
          <w:p>
            <w:r>
              <w:rPr>
                <w:sz w:val="20"/>
              </w:rPr>
              <w:t>Severe</w:t>
            </w:r>
          </w:p>
        </w:tc>
        <w:tc>
          <w:tcPr>
            <w:tcW w:type="dxa" w:w="1728"/>
          </w:tcPr>
          <w:p>
            <w:r>
              <w:rPr>
                <w:sz w:val="20"/>
              </w:rPr>
              <w:t>18</w:t>
            </w:r>
          </w:p>
        </w:tc>
        <w:tc>
          <w:tcPr>
            <w:tcW w:type="dxa" w:w="1728"/>
          </w:tcPr>
          <w:p>
            <w:r>
              <w:rPr>
                <w:sz w:val="20"/>
              </w:rPr>
              <w:t>16.6%</w:t>
            </w:r>
          </w:p>
        </w:tc>
        <w:tc>
          <w:tcPr>
            <w:tcW w:type="dxa" w:w="1728"/>
          </w:tcPr>
          <w:p>
            <w:r>
              <w:rPr>
                <w:sz w:val="20"/>
              </w:rPr>
              <w:t>35.6%</w:t>
            </w:r>
          </w:p>
        </w:tc>
        <w:tc>
          <w:tcPr>
            <w:tcW w:type="dxa" w:w="1728"/>
          </w:tcPr>
          <w:p>
            <w:r>
              <w:rPr>
                <w:sz w:val="20"/>
              </w:rPr>
              <w:t>74.4%</w:t>
            </w:r>
          </w:p>
        </w:tc>
      </w:tr>
    </w:tbl>
    <w:p/>
    <w:p>
      <w:pPr>
        <w:spacing w:after="120"/>
      </w:pPr>
      <w:r>
        <w:rPr>
          <w:b/>
        </w:rPr>
        <w:t>Key findings:</w:t>
      </w:r>
      <w:r/>
    </w:p>
    <w:p>
      <w:pPr>
        <w:pStyle w:val="ListBullet"/>
        <w:spacing w:after="80"/>
      </w:pPr>
      <w:r>
        <w:t>Moderate disease shows the highest Top 10 dominance (22.6%), suggesting highly focused clonal responses.</w:t>
      </w:r>
    </w:p>
    <w:p>
      <w:pPr>
        <w:pStyle w:val="ListBullet"/>
        <w:spacing w:after="80"/>
      </w:pPr>
      <w:r>
        <w:t>COVID Naive has the highest Top 100 and Top 1000 fractions (61% and 83%), indicating an oligoclonal baseline repertoire.</w:t>
      </w:r>
    </w:p>
    <w:p>
      <w:pPr>
        <w:pStyle w:val="ListBullet"/>
        <w:spacing w:after="80"/>
      </w:pPr>
      <w:r>
        <w:t>Mild cases show the lowest dominance across all tiers (10.5% Top 10), consistent with a more polyclonal response.</w:t>
      </w:r>
    </w:p>
    <w:p>
      <w:pPr>
        <w:jc w:val="center"/>
      </w:pPr>
      <w:r>
        <w:rPr>
          <w:i/>
          <w:color w:val="555555"/>
          <w:sz w:val="18"/>
        </w:rPr>
        <w:t>Figure 6.1a. Top X clone fractions by disease (faceted). [See figure file]</w:t>
      </w:r>
    </w:p>
    <w:p>
      <w:pPr>
        <w:jc w:val="center"/>
      </w:pPr>
      <w:r>
        <w:rPr>
          <w:i/>
          <w:color w:val="555555"/>
          <w:sz w:val="18"/>
        </w:rPr>
        <w:t>Figure 6.1b. Top X clone fractions by sex. [See figure file]</w:t>
      </w:r>
    </w:p>
    <w:p>
      <w:pPr>
        <w:jc w:val="center"/>
      </w:pPr>
      <w:r>
        <w:rPr>
          <w:i/>
          <w:color w:val="555555"/>
          <w:sz w:val="18"/>
        </w:rPr>
        <w:t>Figure 6.1c. Top X clone fractions by age group. [See figure file]</w:t>
      </w:r>
    </w:p>
    <w:p>
      <w:pPr>
        <w:jc w:val="center"/>
      </w:pPr>
      <w:r>
        <w:rPr>
          <w:i/>
          <w:color w:val="555555"/>
          <w:sz w:val="18"/>
        </w:rPr>
        <w:t>Figure 6.1d. Top 10 fraction by disease x sex. [See figure file]</w:t>
      </w:r>
    </w:p>
    <w:p>
      <w:pPr>
        <w:jc w:val="center"/>
      </w:pPr>
      <w:r>
        <w:rPr>
          <w:i/>
          <w:color w:val="555555"/>
          <w:sz w:val="18"/>
        </w:rPr>
        <w:t>Figure 6.1e. Top 10 fraction by disease x age. [See figure file]</w:t>
      </w:r>
    </w:p>
    <w:p>
      <w:r>
        <w:br w:type="page"/>
      </w:r>
    </w:p>
    <w:p>
      <w:pPr>
        <w:pStyle w:val="Heading1"/>
      </w:pPr>
      <w:r>
        <w:rPr>
          <w:color w:val="1A3C6E"/>
        </w:rPr>
        <w:t>7. CDR3 Structural Features</w:t>
      </w:r>
    </w:p>
    <w:p>
      <w:pPr>
        <w:pStyle w:val="Heading2"/>
      </w:pPr>
      <w:r>
        <w:rPr>
          <w:color w:val="1A3C6E"/>
        </w:rPr>
        <w:t>7.1 CDR3 Length</w:t>
      </w:r>
    </w:p>
    <w:p>
      <w:pPr>
        <w:spacing w:after="120"/>
      </w:pPr>
      <w:r>
        <w:t>CDR3 (Complementarity-Determining Region 3) length is a key structural feature of antibodies that determines antigen-binding specificity. Longer CDR3 regions can access recessed epitopes and are often associated with broadly neutralizing antibodies.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Disease Category</w:t>
            </w:r>
          </w:p>
        </w:tc>
        <w:tc>
          <w:tcPr>
            <w:tcW w:type="dxa" w:w="1728"/>
          </w:tcPr>
          <w:p>
            <w:r>
              <w:rPr>
                <w:b/>
                <w:sz w:val="20"/>
              </w:rPr>
              <w:t>N</w:t>
            </w:r>
          </w:p>
        </w:tc>
        <w:tc>
          <w:tcPr>
            <w:tcW w:type="dxa" w:w="1728"/>
          </w:tcPr>
          <w:p>
            <w:r>
              <w:rPr>
                <w:b/>
                <w:sz w:val="20"/>
              </w:rPr>
              <w:t>Top 10 (median)</w:t>
            </w:r>
          </w:p>
        </w:tc>
        <w:tc>
          <w:tcPr>
            <w:tcW w:type="dxa" w:w="1728"/>
          </w:tcPr>
          <w:p>
            <w:r>
              <w:rPr>
                <w:b/>
                <w:sz w:val="20"/>
              </w:rPr>
              <w:t>Top 100 (median)</w:t>
            </w:r>
          </w:p>
        </w:tc>
        <w:tc>
          <w:tcPr>
            <w:tcW w:type="dxa" w:w="1728"/>
          </w:tcPr>
          <w:p>
            <w:r>
              <w:rPr>
                <w:b/>
                <w:sz w:val="20"/>
              </w:rPr>
              <w:t>Top 1000 (median)</w:t>
            </w:r>
          </w:p>
        </w:tc>
      </w:tr>
      <w:tr>
        <w:tc>
          <w:tcPr>
            <w:tcW w:type="dxa" w:w="1728"/>
          </w:tcPr>
          <w:p>
            <w:r>
              <w:rPr>
                <w:sz w:val="20"/>
              </w:rPr>
              <w:t>COVID Naive</w:t>
            </w:r>
          </w:p>
        </w:tc>
        <w:tc>
          <w:tcPr>
            <w:tcW w:type="dxa" w:w="1728"/>
          </w:tcPr>
          <w:p>
            <w:r>
              <w:rPr>
                <w:sz w:val="20"/>
              </w:rPr>
              <w:t>8</w:t>
            </w:r>
          </w:p>
        </w:tc>
        <w:tc>
          <w:tcPr>
            <w:tcW w:type="dxa" w:w="1728"/>
          </w:tcPr>
          <w:p>
            <w:r>
              <w:rPr>
                <w:sz w:val="20"/>
              </w:rPr>
              <w:t>15.0 AA</w:t>
            </w:r>
          </w:p>
        </w:tc>
        <w:tc>
          <w:tcPr>
            <w:tcW w:type="dxa" w:w="1728"/>
          </w:tcPr>
          <w:p>
            <w:r>
              <w:rPr>
                <w:sz w:val="20"/>
              </w:rPr>
              <w:t>16.8 AA</w:t>
            </w:r>
          </w:p>
        </w:tc>
        <w:tc>
          <w:tcPr>
            <w:tcW w:type="dxa" w:w="1728"/>
          </w:tcPr>
          <w:p>
            <w:r>
              <w:rPr>
                <w:sz w:val="20"/>
              </w:rPr>
              <w:t>17.4 AA</w:t>
            </w:r>
          </w:p>
        </w:tc>
      </w:tr>
      <w:tr>
        <w:tc>
          <w:tcPr>
            <w:tcW w:type="dxa" w:w="1728"/>
          </w:tcPr>
          <w:p>
            <w:r>
              <w:rPr>
                <w:sz w:val="20"/>
              </w:rPr>
              <w:t>Mild</w:t>
            </w:r>
          </w:p>
        </w:tc>
        <w:tc>
          <w:tcPr>
            <w:tcW w:type="dxa" w:w="1728"/>
          </w:tcPr>
          <w:p>
            <w:r>
              <w:rPr>
                <w:sz w:val="20"/>
              </w:rPr>
              <w:t>38</w:t>
            </w:r>
          </w:p>
        </w:tc>
        <w:tc>
          <w:tcPr>
            <w:tcW w:type="dxa" w:w="1728"/>
          </w:tcPr>
          <w:p>
            <w:r>
              <w:rPr>
                <w:sz w:val="20"/>
              </w:rPr>
              <w:t>16.5 AA</w:t>
            </w:r>
          </w:p>
        </w:tc>
        <w:tc>
          <w:tcPr>
            <w:tcW w:type="dxa" w:w="1728"/>
          </w:tcPr>
          <w:p>
            <w:r>
              <w:rPr>
                <w:sz w:val="20"/>
              </w:rPr>
              <w:t>16.9 AA</w:t>
            </w:r>
          </w:p>
        </w:tc>
        <w:tc>
          <w:tcPr>
            <w:tcW w:type="dxa" w:w="1728"/>
          </w:tcPr>
          <w:p>
            <w:r>
              <w:rPr>
                <w:sz w:val="20"/>
              </w:rPr>
              <w:t>17.0 AA</w:t>
            </w:r>
          </w:p>
        </w:tc>
      </w:tr>
      <w:tr>
        <w:tc>
          <w:tcPr>
            <w:tcW w:type="dxa" w:w="1728"/>
          </w:tcPr>
          <w:p>
            <w:r>
              <w:rPr>
                <w:sz w:val="20"/>
              </w:rPr>
              <w:t>Moderate</w:t>
            </w:r>
          </w:p>
        </w:tc>
        <w:tc>
          <w:tcPr>
            <w:tcW w:type="dxa" w:w="1728"/>
          </w:tcPr>
          <w:p>
            <w:r>
              <w:rPr>
                <w:sz w:val="20"/>
              </w:rPr>
              <w:t>9</w:t>
            </w:r>
          </w:p>
        </w:tc>
        <w:tc>
          <w:tcPr>
            <w:tcW w:type="dxa" w:w="1728"/>
          </w:tcPr>
          <w:p>
            <w:r>
              <w:rPr>
                <w:sz w:val="20"/>
              </w:rPr>
              <w:t>17.3 AA</w:t>
            </w:r>
          </w:p>
        </w:tc>
        <w:tc>
          <w:tcPr>
            <w:tcW w:type="dxa" w:w="1728"/>
          </w:tcPr>
          <w:p>
            <w:r>
              <w:rPr>
                <w:sz w:val="20"/>
              </w:rPr>
              <w:t>17.2 AA</w:t>
            </w:r>
          </w:p>
        </w:tc>
        <w:tc>
          <w:tcPr>
            <w:tcW w:type="dxa" w:w="1728"/>
          </w:tcPr>
          <w:p>
            <w:r>
              <w:rPr>
                <w:sz w:val="20"/>
              </w:rPr>
              <w:t>17.5 AA</w:t>
            </w:r>
          </w:p>
        </w:tc>
      </w:tr>
      <w:tr>
        <w:tc>
          <w:tcPr>
            <w:tcW w:type="dxa" w:w="1728"/>
          </w:tcPr>
          <w:p>
            <w:r>
              <w:rPr>
                <w:sz w:val="20"/>
              </w:rPr>
              <w:t>Recovered</w:t>
            </w:r>
          </w:p>
        </w:tc>
        <w:tc>
          <w:tcPr>
            <w:tcW w:type="dxa" w:w="1728"/>
          </w:tcPr>
          <w:p>
            <w:r>
              <w:rPr>
                <w:sz w:val="20"/>
              </w:rPr>
              <w:t>12</w:t>
            </w:r>
          </w:p>
        </w:tc>
        <w:tc>
          <w:tcPr>
            <w:tcW w:type="dxa" w:w="1728"/>
          </w:tcPr>
          <w:p>
            <w:r>
              <w:rPr>
                <w:sz w:val="20"/>
              </w:rPr>
              <w:t>15.8 AA</w:t>
            </w:r>
          </w:p>
        </w:tc>
        <w:tc>
          <w:tcPr>
            <w:tcW w:type="dxa" w:w="1728"/>
          </w:tcPr>
          <w:p>
            <w:r>
              <w:rPr>
                <w:sz w:val="20"/>
              </w:rPr>
              <w:t>17.2 AA</w:t>
            </w:r>
          </w:p>
        </w:tc>
        <w:tc>
          <w:tcPr>
            <w:tcW w:type="dxa" w:w="1728"/>
          </w:tcPr>
          <w:p>
            <w:r>
              <w:rPr>
                <w:sz w:val="20"/>
              </w:rPr>
              <w:t>17.5 AA</w:t>
            </w:r>
          </w:p>
        </w:tc>
      </w:tr>
      <w:tr>
        <w:tc>
          <w:tcPr>
            <w:tcW w:type="dxa" w:w="1728"/>
          </w:tcPr>
          <w:p>
            <w:r>
              <w:rPr>
                <w:sz w:val="20"/>
              </w:rPr>
              <w:t>Severe</w:t>
            </w:r>
          </w:p>
        </w:tc>
        <w:tc>
          <w:tcPr>
            <w:tcW w:type="dxa" w:w="1728"/>
          </w:tcPr>
          <w:p>
            <w:r>
              <w:rPr>
                <w:sz w:val="20"/>
              </w:rPr>
              <w:t>18</w:t>
            </w:r>
          </w:p>
        </w:tc>
        <w:tc>
          <w:tcPr>
            <w:tcW w:type="dxa" w:w="1728"/>
          </w:tcPr>
          <w:p>
            <w:r>
              <w:rPr>
                <w:sz w:val="20"/>
              </w:rPr>
              <w:t>17.6 AA</w:t>
            </w:r>
          </w:p>
        </w:tc>
        <w:tc>
          <w:tcPr>
            <w:tcW w:type="dxa" w:w="1728"/>
          </w:tcPr>
          <w:p>
            <w:r>
              <w:rPr>
                <w:sz w:val="20"/>
              </w:rPr>
              <w:t>17.4 AA</w:t>
            </w:r>
          </w:p>
        </w:tc>
        <w:tc>
          <w:tcPr>
            <w:tcW w:type="dxa" w:w="1728"/>
          </w:tcPr>
          <w:p>
            <w:r>
              <w:rPr>
                <w:sz w:val="20"/>
              </w:rPr>
              <w:t>17.2 AA</w:t>
            </w:r>
          </w:p>
        </w:tc>
      </w:tr>
    </w:tbl>
    <w:p/>
    <w:p>
      <w:pPr>
        <w:spacing w:after="120"/>
      </w:pPr>
      <w:r>
        <w:rPr>
          <w:b/>
        </w:rPr>
        <w:t xml:space="preserve">Key finding: </w:t>
      </w:r>
      <w:r>
        <w:t>Severe cases show the longest CDR3 in their top 10 clones (median 17.6 AA), while COVID Naive show the shortest (15.0 AA). CDR3 lengths converge across groups at the Top 1000 level (~17.0-17.5 AA), indicating differences are driven by the most dominant clones.</w:t>
      </w:r>
    </w:p>
    <w:p>
      <w:pPr>
        <w:jc w:val="center"/>
      </w:pPr>
      <w:r>
        <w:rPr>
          <w:i/>
          <w:color w:val="555555"/>
          <w:sz w:val="18"/>
        </w:rPr>
        <w:t>Figure 7.1a. CDR3 length by disease (faceted by tier). [See figure file]</w:t>
      </w:r>
    </w:p>
    <w:p>
      <w:pPr>
        <w:jc w:val="center"/>
      </w:pPr>
      <w:r>
        <w:rPr>
          <w:i/>
          <w:color w:val="555555"/>
          <w:sz w:val="18"/>
        </w:rPr>
        <w:t>Figure 7.1b. CDR3 length by sex. [See figure file]</w:t>
      </w:r>
    </w:p>
    <w:p>
      <w:pPr>
        <w:jc w:val="center"/>
      </w:pPr>
      <w:r>
        <w:rPr>
          <w:i/>
          <w:color w:val="555555"/>
          <w:sz w:val="18"/>
        </w:rPr>
        <w:t>Figure 7.1c. CDR3 length by age group. [See figure file]</w:t>
      </w:r>
    </w:p>
    <w:p>
      <w:pPr>
        <w:jc w:val="center"/>
      </w:pPr>
      <w:r>
        <w:rPr>
          <w:i/>
          <w:color w:val="555555"/>
          <w:sz w:val="18"/>
        </w:rPr>
        <w:t>Figure 7.1d. CDR3 length (Top 10) by disease x sex. [See figure file]</w:t>
      </w:r>
    </w:p>
    <w:p>
      <w:pPr>
        <w:jc w:val="center"/>
      </w:pPr>
      <w:r>
        <w:rPr>
          <w:i/>
          <w:color w:val="555555"/>
          <w:sz w:val="18"/>
        </w:rPr>
        <w:t>Figure 7.1e. CDR3 length (Top 10) by disease x age. [See figure file]</w:t>
      </w:r>
    </w:p>
    <w:p>
      <w:pPr>
        <w:jc w:val="center"/>
      </w:pPr>
      <w:r>
        <w:rPr>
          <w:i/>
          <w:color w:val="555555"/>
          <w:sz w:val="18"/>
        </w:rPr>
        <w:t>Figure 7.1f. CDR3 length across clone tiers. [See figure file]</w:t>
      </w:r>
    </w:p>
    <w:p>
      <w:r>
        <w:br w:type="page"/>
      </w:r>
    </w:p>
    <w:p>
      <w:pPr>
        <w:pStyle w:val="Heading1"/>
      </w:pPr>
      <w:r>
        <w:rPr>
          <w:color w:val="1A3C6E"/>
        </w:rPr>
        <w:t>8. Summary of Key Findings</w:t>
      </w:r>
    </w:p>
    <w:p>
      <w:pPr>
        <w:spacing w:after="160"/>
      </w:pPr>
      <w:r>
        <w:rPr>
          <w:b/>
        </w:rPr>
        <w:t xml:space="preserve">1. Cohort composition: </w:t>
      </w:r>
      <w:r>
        <w:t>85 participants across 5 disease categories (Mild is the largest group at 45%). The cohort skews male (60%) and older (59% aged 51+). Severe cases are enriched for older males.</w:t>
      </w:r>
    </w:p>
    <w:p>
      <w:pPr>
        <w:spacing w:after="160"/>
      </w:pPr>
      <w:r>
        <w:rPr>
          <w:b/>
        </w:rPr>
        <w:t xml:space="preserve">2. Clone count (clonal diversity): </w:t>
      </w:r>
      <w:r>
        <w:t>Recovered and COVID Naive individuals have 5-8x more unique clones than Mild or Severe cases. This likely reflects both biological differences and technical variation across studies.</w:t>
      </w:r>
    </w:p>
    <w:p>
      <w:pPr>
        <w:spacing w:after="160"/>
      </w:pPr>
      <w:r>
        <w:rPr>
          <w:b/>
        </w:rPr>
        <w:t xml:space="preserve">3. Clone size (clonal expansion): </w:t>
      </w:r>
      <w:r>
        <w:t>COVID Naive subjects show the largest average clone sizes (median 114 sequences/clone), 3x higher than Mild cases (36).</w:t>
      </w:r>
    </w:p>
    <w:p>
      <w:pPr>
        <w:spacing w:after="160"/>
      </w:pPr>
      <w:r>
        <w:rPr>
          <w:b/>
        </w:rPr>
        <w:t xml:space="preserve">4. Repertoire dominance (Top X fractions): </w:t>
      </w:r>
      <w:r>
        <w:t>Moderate disease shows the most oligoclonal repertoire (Top 10 = 22.6%), while Mild cases are the most polyclonal (10.5%).</w:t>
      </w:r>
    </w:p>
    <w:p>
      <w:pPr>
        <w:spacing w:after="160"/>
      </w:pPr>
      <w:r>
        <w:rPr>
          <w:b/>
        </w:rPr>
        <w:t xml:space="preserve">5. CDR3 length: </w:t>
      </w:r>
      <w:r>
        <w:t>Severe cases have the longest CDR3 in their top 10 clones (median 17.6 AA), while COVID Naive show the shortest (15.0 AA). Differences converge at the Top 1000 level.</w:t>
      </w:r>
    </w:p>
    <w:p>
      <w:pPr>
        <w:spacing w:after="160"/>
      </w:pPr>
      <w:r>
        <w:rPr>
          <w:b/>
        </w:rPr>
        <w:t xml:space="preserve">6. Sex differences: </w:t>
      </w:r>
      <w:r>
        <w:t>Minimal differences in clone count, size, or CDR3 length between males and females.</w:t>
      </w:r>
    </w:p>
    <w:p>
      <w:pPr>
        <w:spacing w:after="160"/>
      </w:pPr>
      <w:r>
        <w:rPr>
          <w:b/>
        </w:rPr>
        <w:t xml:space="preserve">7. Age effects: </w:t>
      </w:r>
      <w:r>
        <w:t>No strong age-dependent trends observed, though age x disease confounding limits interpretation.</w:t>
      </w:r>
    </w:p>
    <w:p>
      <w:pPr>
        <w:spacing w:after="160"/>
      </w:pPr>
      <w:r>
        <w:rPr>
          <w:b/>
        </w:rPr>
        <w:t xml:space="preserve">8. Caveats: </w:t>
      </w:r>
      <w:r>
        <w:t>Disease category confounds with study of origin. Differences in sequencing depth, library preparation, and sample timing may contribute to variation. Results are exploratory.</w:t>
      </w:r>
    </w:p>
    <w:p/>
    <w:p>
      <w:pPr>
        <w:jc w:val="center"/>
      </w:pPr>
      <w:r>
        <w:rPr>
          <w:i/>
          <w:color w:val="888888"/>
          <w:sz w:val="18"/>
        </w:rPr>
        <w:t>Generated from iReceptor Statistics API.</w:t>
        <w:br/>
        <w:t>Analysis scripts: metadata_visualization.R, clonal_analysis.R, cdr3_analysis.R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