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76.png" ContentType="image/png"/>
  <Override PartName="/word/media/rId73.png" ContentType="image/png"/>
  <Override PartName="/word/media/rId79.png" ContentType="image/png"/>
  <Override PartName="/word/media/rId103.png" ContentType="image/png"/>
  <Override PartName="/word/media/rId106.png" ContentType="image/png"/>
  <Override PartName="/word/media/rId110.png" ContentType="image/png"/>
  <Override PartName="/word/media/rId113.png" ContentType="image/png"/>
  <Override PartName="/word/media/rId116.png" ContentType="image/png"/>
  <Override PartName="/word/media/rId122.png" ContentType="image/png"/>
  <Override PartName="/word/media/rId125.png" ContentType="image/png"/>
  <Override PartName="/word/media/rId129.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51.png" ContentType="image/png"/>
  <Override PartName="/word/media/rId54.png" ContentType="image/png"/>
  <Override PartName="/word/media/rId57.png" ContentType="image/png"/>
  <Override PartName="/word/media/rId66.png" ContentType="image/png"/>
  <Override PartName="/word/media/rId60.png" ContentType="image/png"/>
  <Override PartName="/word/media/rId63.png" ContentType="image/png"/>
  <Override PartName="/word/media/rId51.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6"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BodyText"/>
      </w:pPr>
      <w:r>
        <w:rPr>
          <w:bCs/>
          <w:b/>
        </w:rPr>
        <w:t xml:space="preserve">Figure 2.</w:t>
      </w:r>
      <w:r>
        <w:t xml:space="preserve"> </w:t>
      </w:r>
      <w:r>
        <w:t xml:space="preserve">Fraction of top X clones out of total copies per individual by disease stage.</w:t>
      </w:r>
    </w:p>
    <w:p>
      <w:pPr>
        <w:pStyle w:val="BodyText"/>
      </w:pPr>
      <w:r>
        <w:rPr>
          <w:bCs/>
          <w:b/>
        </w:rPr>
        <w:t xml:space="preserve">Figure 3.</w:t>
      </w:r>
      <w:r>
        <w:t xml:space="preserve"> </w:t>
      </w:r>
      <w:r>
        <w:t xml:space="preserve">CDR3 length distribution by disease stage for top clones.</w:t>
      </w:r>
    </w:p>
    <w:p>
      <w:pPr>
        <w:pStyle w:val="BodyText"/>
      </w:pPr>
      <w:r>
        <w:rPr>
          <w:bCs/>
          <w:b/>
        </w:rPr>
        <w:t xml:space="preserve">Figure 4.</w:t>
      </w:r>
      <w:r>
        <w:t xml:space="preserve"> </w:t>
      </w:r>
      <w:r>
        <w:t xml:space="preserve">CDR3 length range by disease stage.</w:t>
      </w:r>
    </w:p>
    <w:p>
      <w:pPr>
        <w:pStyle w:val="BodyText"/>
      </w:pPr>
      <w:r>
        <w:rPr>
          <w:bCs/>
          <w:b/>
        </w:rPr>
        <w:t xml:space="preserve">Figure 5.</w:t>
      </w:r>
      <w:r>
        <w:t xml:space="preserve"> </w:t>
      </w:r>
      <w:r>
        <w:t xml:space="preserve">Total mutation level by disease stage.</w:t>
      </w:r>
    </w:p>
    <w:p>
      <w:pPr>
        <w:pStyle w:val="BodyText"/>
      </w:pPr>
      <w:r>
        <w:rPr>
          <w:bCs/>
          <w:b/>
        </w:rPr>
        <w:t xml:space="preserve">Figure 6.</w:t>
      </w:r>
      <w:r>
        <w:t xml:space="preserve"> </w:t>
      </w:r>
      <w:r>
        <w:t xml:space="preserve">Mutation level gradient across clone size ranks by disease stage.</w:t>
      </w:r>
    </w:p>
    <w:p>
      <w:pPr>
        <w:pStyle w:val="BodyText"/>
      </w:pPr>
      <w:r>
        <w:rPr>
          <w:bCs/>
          <w:b/>
        </w:rPr>
        <w:t xml:space="preserve">Figure 7.</w:t>
      </w:r>
      <w:r>
        <w:t xml:space="preserve"> </w:t>
      </w:r>
      <w:r>
        <w:t xml:space="preserve">CDR and FW region mutations by disease stage.</w:t>
      </w:r>
    </w:p>
    <w:p>
      <w:pPr>
        <w:pStyle w:val="BodyText"/>
      </w:pPr>
      <w:r>
        <w:rPr>
          <w:bCs/>
          <w:b/>
        </w:rPr>
        <w:t xml:space="preserve">Figure 8.</w:t>
      </w:r>
      <w:r>
        <w:t xml:space="preserve"> </w:t>
      </w:r>
      <w:r>
        <w:t xml:space="preserve">NS/S ratio by disease stage (overview).</w:t>
      </w:r>
    </w:p>
    <w:p>
      <w:pPr>
        <w:pStyle w:val="BodyText"/>
      </w:pPr>
      <w:r>
        <w:rPr>
          <w:bCs/>
          <w:b/>
        </w:rPr>
        <w:t xml:space="preserve">Figure 9.</w:t>
      </w:r>
      <w:r>
        <w:t xml:space="preserve"> </w:t>
      </w:r>
      <w:r>
        <w:t xml:space="preserve">Clone size distribution overview by disease stage.</w:t>
      </w:r>
    </w:p>
    <w:p>
      <w:pPr>
        <w:pStyle w:val="BodyText"/>
      </w:pPr>
      <w:r>
        <w:rPr>
          <w:bCs/>
          <w:b/>
        </w:rPr>
        <w:t xml:space="preserve">Figure 10.</w:t>
      </w:r>
      <w:r>
        <w:t xml:space="preserve"> </w:t>
      </w:r>
      <w:r>
        <w:t xml:space="preserve">Expanded clone count by disease stage.</w:t>
      </w:r>
    </w:p>
    <w:p>
      <w:pPr>
        <w:pStyle w:val="BodyText"/>
      </w:pPr>
      <w:r>
        <w:rPr>
          <w:bCs/>
          <w:b/>
        </w:rPr>
        <w:t xml:space="preserve">Figure 11.</w:t>
      </w:r>
      <w:r>
        <w:t xml:space="preserve"> </w:t>
      </w:r>
      <w:r>
        <w:t xml:space="preserve">Expanded clone size by disease stage.</w:t>
      </w:r>
    </w:p>
    <w:p>
      <w:pPr>
        <w:pStyle w:val="BodyText"/>
      </w:pPr>
      <w:r>
        <w:rPr>
          <w:bCs/>
          <w:b/>
        </w:rPr>
        <w:t xml:space="preserve">Figure 12.</w:t>
      </w:r>
      <w:r>
        <w:t xml:space="preserve"> </w:t>
      </w:r>
      <w:r>
        <w:t xml:space="preserve">Mutation level in top 10 clones by sex and disease stage.</w:t>
      </w:r>
    </w:p>
    <w:p>
      <w:pPr>
        <w:pStyle w:val="BodyText"/>
      </w:pPr>
      <w:r>
        <w:rPr>
          <w:bCs/>
          <w:b/>
        </w:rPr>
        <w:t xml:space="preserve">Figure 13.</w:t>
      </w:r>
      <w:r>
        <w:t xml:space="preserve"> </w:t>
      </w:r>
      <w:r>
        <w:t xml:space="preserve">CDR3 length in top 10 clones by sex and disease stage.</w:t>
      </w:r>
    </w:p>
    <w:p>
      <w:pPr>
        <w:pStyle w:val="BodyText"/>
      </w:pPr>
      <w:r>
        <w:rPr>
          <w:bCs/>
          <w:b/>
        </w:rPr>
        <w:t xml:space="preserve">Figure 14.</w:t>
      </w:r>
      <w:r>
        <w:t xml:space="preserve"> </w:t>
      </w:r>
      <w:r>
        <w:t xml:space="preserve">Within-individual clone count across tissues (cross-study comparison).</w:t>
      </w:r>
    </w:p>
    <w:p>
      <w:pPr>
        <w:pStyle w:val="BodyText"/>
      </w:pPr>
      <w:r>
        <w:rPr>
          <w:bCs/>
          <w:b/>
        </w:rPr>
        <w:t xml:space="preserve">Figure 15.</w:t>
      </w:r>
      <w:r>
        <w:t xml:space="preserve"> </w:t>
      </w:r>
      <w:r>
        <w:t xml:space="preserve">Within-individual clone size across tissues (cross-study comparison).</w:t>
      </w:r>
    </w:p>
    <w:p>
      <w:pPr>
        <w:pStyle w:val="BodyText"/>
      </w:pPr>
      <w:r>
        <w:rPr>
          <w:bCs/>
          <w:b/>
        </w:rPr>
        <w:t xml:space="preserve">Figure 16.</w:t>
      </w:r>
      <w:r>
        <w:t xml:space="preserve"> </w:t>
      </w:r>
      <w:r>
        <w:t xml:space="preserve">Within-individual tissue comparison (paired line plots).</w:t>
      </w:r>
    </w:p>
    <w:bookmarkEnd w:id="24"/>
    <w:bookmarkStart w:id="25"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BodyText"/>
      </w:pPr>
      <w:r>
        <w:rPr>
          <w:bCs/>
          <w:b/>
        </w:rPr>
        <w:t xml:space="preserve">Figure 18.</w:t>
      </w:r>
      <w:r>
        <w:t xml:space="preserve"> </w:t>
      </w:r>
      <w:r>
        <w:t xml:space="preserve">Diversity profiles by disease stage.</w:t>
      </w:r>
    </w:p>
    <w:p>
      <w:pPr>
        <w:pStyle w:val="BodyText"/>
      </w:pPr>
      <w:r>
        <w:rPr>
          <w:bCs/>
          <w:b/>
        </w:rPr>
        <w:t xml:space="preserve">Figure 19.</w:t>
      </w:r>
      <w:r>
        <w:t xml:space="preserve"> </w:t>
      </w:r>
      <w:r>
        <w:t xml:space="preserve">Number of expanded clones at different expansion thresholds by disease stage.</w:t>
      </w:r>
    </w:p>
    <w:p>
      <w:pPr>
        <w:pStyle w:val="BodyText"/>
      </w:pPr>
      <w:r>
        <w:rPr>
          <w:bCs/>
          <w:b/>
        </w:rPr>
        <w:t xml:space="preserve">Figure 20.</w:t>
      </w:r>
      <w:r>
        <w:t xml:space="preserve"> </w:t>
      </w:r>
      <w:r>
        <w:t xml:space="preserve">Clone size distribution by disease stage (violin + boxplot and per-individual median).</w:t>
      </w:r>
    </w:p>
    <w:p>
      <w:pPr>
        <w:pStyle w:val="BodyText"/>
      </w:pPr>
      <w:r>
        <w:rPr>
          <w:bCs/>
          <w:b/>
        </w:rPr>
        <w:t xml:space="preserve">Figure 21.</w:t>
      </w:r>
      <w:r>
        <w:t xml:space="preserve"> </w:t>
      </w:r>
      <w:r>
        <w:t xml:space="preserve">Mutation analysis: NS/S ratio by region and disease stage.</w:t>
      </w:r>
    </w:p>
    <w:p>
      <w:pPr>
        <w:pStyle w:val="BodyText"/>
      </w:pPr>
      <w:r>
        <w:rPr>
          <w:bCs/>
          <w:b/>
        </w:rPr>
        <w:t xml:space="preserve">Figure 22.</w:t>
      </w:r>
      <w:r>
        <w:t xml:space="preserve"> </w:t>
      </w:r>
      <w:r>
        <w:t xml:space="preserve">CDR3 length distribution (mean and SD) by disease stage.</w:t>
      </w:r>
    </w:p>
    <w:p>
      <w:pPr>
        <w:pStyle w:val="BodyText"/>
      </w:pPr>
      <w:r>
        <w:rPr>
          <w:bCs/>
          <w:b/>
        </w:rPr>
        <w:t xml:space="preserve">Figure 23.</w:t>
      </w:r>
      <w:r>
        <w:t xml:space="preserve"> </w:t>
      </w:r>
      <w:r>
        <w:t xml:space="preserve">V gene usage heatmap by disease stage.</w:t>
      </w:r>
    </w:p>
    <w:p>
      <w:pPr>
        <w:pStyle w:val="BodyText"/>
      </w:pPr>
      <w:r>
        <w:rPr>
          <w:bCs/>
          <w:b/>
        </w:rPr>
        <w:t xml:space="preserve">Figure 24.</w:t>
      </w:r>
      <w:r>
        <w:t xml:space="preserve"> </w:t>
      </w:r>
      <w:r>
        <w:t xml:space="preserve">Clonal metrics versus age by disease stage.</w:t>
      </w:r>
    </w:p>
    <w:p>
      <w:pPr>
        <w:pStyle w:val="BodyText"/>
      </w:pPr>
      <w:r>
        <w:rPr>
          <w:bCs/>
          <w:b/>
        </w:rPr>
        <w:t xml:space="preserve">Figure 25.</w:t>
      </w:r>
      <w:r>
        <w:t xml:space="preserve"> </w:t>
      </w:r>
      <w:r>
        <w:t xml:space="preserve">Clonal metrics by gender and disease stage.</w:t>
      </w:r>
    </w:p>
    <w:bookmarkEnd w:id="25"/>
    <w:bookmarkEnd w:id="26"/>
    <w:bookmarkStart w:id="31" w:name="introduction"/>
    <w:p>
      <w:pPr>
        <w:pStyle w:val="Heading1"/>
      </w:pPr>
      <w:r>
        <w:t xml:space="preserve">Introduction</w:t>
      </w:r>
    </w:p>
    <w:bookmarkStart w:id="27"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7"/>
    <w:bookmarkStart w:id="28"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8"/>
    <w:bookmarkStart w:id="29"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9"/>
    <w:bookmarkStart w:id="30"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30"/>
    <w:bookmarkEnd w:id="31"/>
    <w:bookmarkStart w:id="32"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2"/>
    <w:bookmarkStart w:id="50" w:name="materials-and-methods"/>
    <w:p>
      <w:pPr>
        <w:pStyle w:val="Heading1"/>
      </w:pPr>
      <w:r>
        <w:t xml:space="preserve">Materials and Methods</w:t>
      </w:r>
    </w:p>
    <w:bookmarkStart w:id="33"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 ID</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[33]</w:t>
            </w:r>
          </w:p>
        </w:tc>
      </w:tr>
      <w:tr>
        <w:tc>
          <w:tcPr/>
          <w:p>
            <w:pPr>
              <w:pStyle w:val="Compact"/>
              <w:jc w:val="left"/>
            </w:pPr>
            <w:r>
              <w:t xml:space="preserve">CVX2</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w:t>
            </w:r>
          </w:p>
        </w:tc>
      </w:tr>
      <w:tr>
        <w:tc>
          <w:tcPr/>
          <w:p>
            <w:pPr>
              <w:pStyle w:val="Compact"/>
              <w:jc w:val="left"/>
            </w:pPr>
            <w:r>
              <w:t xml:space="preserve">HC1</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3"/>
    <w:bookmarkStart w:id="34"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34"/>
    <w:bookmarkStart w:id="35"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numPr>
          <w:ilvl w:val="0"/>
          <w:numId w:val="1003"/>
        </w:numPr>
        <w:pStyle w:val="Compact"/>
      </w:pPr>
      <w:r>
        <w:rPr>
          <w:bCs/>
          <w:b/>
        </w:rPr>
        <w:t xml:space="preserve">Severe</w:t>
      </w:r>
      <w:r>
        <w:t xml:space="preserve">:</w:t>
      </w:r>
      <w:r>
        <w:t xml:space="preserve"> </w:t>
      </w:r>
      <w:r>
        <w:t xml:space="preserve">“</w:t>
      </w:r>
      <w:r>
        <w:t xml:space="preserve">severe</w:t>
      </w:r>
      <w:r>
        <w:t xml:space="preserve">”</w:t>
      </w:r>
      <w:r>
        <w:t xml:space="preserve">,</w:t>
      </w:r>
      <w:r>
        <w:t xml:space="preserve"> </w:t>
      </w:r>
      <w:r>
        <w:t xml:space="preserve">“</w:t>
      </w:r>
      <w:r>
        <w:t xml:space="preserve">Early phase hypoxaemia</w:t>
      </w:r>
      <w:r>
        <w:t xml:space="preserve">”</w:t>
      </w:r>
    </w:p>
    <w:p>
      <w:pPr>
        <w:numPr>
          <w:ilvl w:val="0"/>
          <w:numId w:val="1003"/>
        </w:numPr>
        <w:pStyle w:val="Compact"/>
      </w:pPr>
      <w:r>
        <w:rPr>
          <w:bCs/>
          <w:b/>
        </w:rPr>
        <w:t xml:space="preserve">Moderate</w:t>
      </w:r>
      <w:r>
        <w:t xml:space="preserve">:</w:t>
      </w:r>
      <w:r>
        <w:t xml:space="preserve"> </w:t>
      </w:r>
      <w:r>
        <w:t xml:space="preserve">“</w:t>
      </w:r>
      <w:r>
        <w:t xml:space="preserve">Early phase-Stable</w:t>
      </w:r>
      <w:r>
        <w:t xml:space="preserve">”</w:t>
      </w:r>
      <w:r>
        <w:t xml:space="preserve">,</w:t>
      </w:r>
      <w:r>
        <w:t xml:space="preserve"> </w:t>
      </w:r>
      <w:r>
        <w:t xml:space="preserve">“</w:t>
      </w:r>
      <w:r>
        <w:t xml:space="preserve">Early phase-Improving</w:t>
      </w:r>
      <w:r>
        <w:t xml:space="preserve">”</w:t>
      </w:r>
    </w:p>
    <w:p>
      <w:pPr>
        <w:numPr>
          <w:ilvl w:val="0"/>
          <w:numId w:val="1003"/>
        </w:numPr>
        <w:pStyle w:val="Compact"/>
      </w:pPr>
      <w:r>
        <w:rPr>
          <w:bCs/>
          <w:b/>
        </w:rPr>
        <w:t xml:space="preserve">Mild</w:t>
      </w:r>
      <w:r>
        <w:t xml:space="preserve">:</w:t>
      </w:r>
      <w:r>
        <w:t xml:space="preserve"> </w:t>
      </w:r>
      <w:r>
        <w:t xml:space="preserve">“</w:t>
      </w:r>
      <w:r>
        <w:t xml:space="preserve">mild</w:t>
      </w:r>
      <w:r>
        <w:t xml:space="preserve">”</w:t>
      </w:r>
      <w:r>
        <w:t xml:space="preserve">,</w:t>
      </w:r>
      <w:r>
        <w:t xml:space="preserve"> </w:t>
      </w:r>
      <w:r>
        <w:t xml:space="preserve">“</w:t>
      </w:r>
      <w:r>
        <w:t xml:space="preserve">non-severe</w:t>
      </w:r>
      <w:r>
        <w:t xml:space="preserve">”</w:t>
      </w:r>
    </w:p>
    <w:p>
      <w:pPr>
        <w:numPr>
          <w:ilvl w:val="0"/>
          <w:numId w:val="1003"/>
        </w:numPr>
        <w:pStyle w:val="Compact"/>
      </w:pPr>
      <w:r>
        <w:rPr>
          <w:bCs/>
          <w:b/>
        </w:rPr>
        <w:t xml:space="preserve">Recovered</w:t>
      </w:r>
      <w:r>
        <w:t xml:space="preserve">:</w:t>
      </w:r>
      <w:r>
        <w:t xml:space="preserve"> </w:t>
      </w: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p>
      <w:pPr>
        <w:numPr>
          <w:ilvl w:val="0"/>
          <w:numId w:val="1003"/>
        </w:numPr>
        <w:pStyle w:val="Compact"/>
      </w:pPr>
      <w:r>
        <w:rPr>
          <w:bCs/>
          <w:b/>
        </w:rPr>
        <w:t xml:space="preserve">COVID Naive</w:t>
      </w:r>
      <w:r>
        <w:t xml:space="preserve">:</w:t>
      </w:r>
      <w:r>
        <w:t xml:space="preserve"> </w:t>
      </w:r>
      <w:r>
        <w:t xml:space="preserve">“</w:t>
      </w:r>
      <w:r>
        <w:t xml:space="preserve">COVID Naive</w:t>
      </w:r>
      <w:r>
        <w:t xml:space="preserve">”</w:t>
      </w:r>
      <w:r>
        <w:t xml:space="preserve"> </w:t>
      </w:r>
      <w:r>
        <w:t xml:space="preserve">— vaccinated individuals with no history of COVID-19 infection</w:t>
      </w:r>
    </w:p>
    <w:p>
      <w:pPr>
        <w:numPr>
          <w:ilvl w:val="0"/>
          <w:numId w:val="1003"/>
        </w:numPr>
        <w:pStyle w:val="Compact"/>
      </w:pPr>
      <w:r>
        <w:rPr>
          <w:bCs/>
          <w:b/>
        </w:rPr>
        <w:t xml:space="preserve">Healthy</w:t>
      </w:r>
      <w:r>
        <w:t xml:space="preserve">:</w:t>
      </w:r>
      <w:r>
        <w:t xml:space="preserve"> </w:t>
      </w:r>
      <w:r>
        <w:t xml:space="preserve">“</w:t>
      </w:r>
      <w:r>
        <w:t xml:space="preserve">healthy</w:t>
      </w:r>
      <w:r>
        <w:t xml:space="preserve">”</w:t>
      </w:r>
      <w:r>
        <w:t xml:space="preserve"> </w:t>
      </w:r>
      <w:r>
        <w:t xml:space="preserve">— individuals with no history of COVID-19 infection or vaccination</w:t>
      </w:r>
    </w:p>
    <w:p>
      <w:pPr>
        <w:pStyle w:val="FirstParagraph"/>
      </w:pPr>
      <w:r>
        <w:t xml:space="preserve">The final cohort comprised: Severe (n=26), Moderate (n=9), Mild (n=30), Recovered (n=12), COVID Naive (n=8), and Healthy (n=9) (</w:t>
      </w:r>
      <w:r>
        <w:rPr>
          <w:bCs/>
          <w:b/>
        </w:rPr>
        <w:t xml:space="preserve">Table 5</w:t>
      </w:r>
      <w:r>
        <w:t xml:space="preserve">). It is important to note that the Recovered group includes both naturally recovered individuals (3 from CD2) and vaccinated individuals who had recovered from prior COVID-19 infection (5 from CVX2, 4 from CVX1). The COVID Naive group consists entirely of vaccinated individuals from CVX1 who had never been infected with SARS-CoV-2. The Healthy group consists of individuals with no known COVID-19 history and no vaccination (3 from CD3, 6 from HC1).</w:t>
      </w:r>
    </w:p>
    <w:bookmarkEnd w:id="35"/>
    <w:bookmarkStart w:id="4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4"/>
        </w:numPr>
        <w:pStyle w:val="Compact"/>
      </w:pPr>
      <w:r>
        <w:rPr>
          <w:bCs/>
          <w:b/>
        </w:rPr>
        <w:t xml:space="preserve">repertoires</w:t>
      </w:r>
      <w:r>
        <w:t xml:space="preserve">: specifies the metadata filters (e.g., disease_stage, tissue, sex, age)</w:t>
      </w:r>
    </w:p>
    <w:p>
      <w:pPr>
        <w:numPr>
          <w:ilvl w:val="0"/>
          <w:numId w:val="1004"/>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5"/>
        </w:numPr>
        <w:pStyle w:val="Compact"/>
      </w:pPr>
      <w:r>
        <w:rPr>
          <w:bCs/>
          <w:b/>
        </w:rPr>
        <w:t xml:space="preserve">Info</w:t>
      </w:r>
      <w:r>
        <w:t xml:space="preserve">: project information (title, version, contacts)</w:t>
      </w:r>
    </w:p>
    <w:p>
      <w:pPr>
        <w:numPr>
          <w:ilvl w:val="0"/>
          <w:numId w:val="1005"/>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45"/>
    <w:bookmarkStart w:id="4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6"/>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6"/>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6"/>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7"/>
        </w:numPr>
        <w:pStyle w:val="Compact"/>
      </w:pPr>
      <w:r>
        <w:rPr>
          <w:iCs/>
          <w:i/>
        </w:rPr>
        <w:t xml:space="preserve">topX_mutation_level</w:t>
      </w:r>
      <w:r>
        <w:t xml:space="preserve">: Average mutation count across the top clones per individual.</w:t>
      </w:r>
    </w:p>
    <w:p>
      <w:pPr>
        <w:numPr>
          <w:ilvl w:val="0"/>
          <w:numId w:val="1007"/>
        </w:numPr>
        <w:pStyle w:val="Compact"/>
      </w:pPr>
      <w:r>
        <w:rPr>
          <w:iCs/>
          <w:i/>
        </w:rPr>
        <w:t xml:space="preserve">mutation_by_region</w:t>
      </w:r>
      <w:r>
        <w:t xml:space="preserve">: Mutation counts split by CDR versus framework regions.</w:t>
      </w:r>
    </w:p>
    <w:p>
      <w:pPr>
        <w:numPr>
          <w:ilvl w:val="0"/>
          <w:numId w:val="1007"/>
        </w:numPr>
        <w:pStyle w:val="Compact"/>
      </w:pPr>
      <w:r>
        <w:rPr>
          <w:iCs/>
          <w:i/>
        </w:rPr>
        <w:t xml:space="preserve">mutation_by_type</w:t>
      </w:r>
      <w:r>
        <w:t xml:space="preserve">: Replacement versus silent mutation counts.</w:t>
      </w:r>
    </w:p>
    <w:p>
      <w:pPr>
        <w:numPr>
          <w:ilvl w:val="0"/>
          <w:numId w:val="1007"/>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8"/>
        </w:numPr>
        <w:pStyle w:val="Compact"/>
      </w:pPr>
      <w:r>
        <w:rPr>
          <w:iCs/>
          <w:i/>
        </w:rPr>
        <w:t xml:space="preserve">topX_nt_AVG_CDR3_length</w:t>
      </w:r>
      <w:r>
        <w:t xml:space="preserve">: Average CDR3 nucleotide length for the top 10, 100, and 1000 clones per individual.</w:t>
      </w:r>
    </w:p>
    <w:p>
      <w:pPr>
        <w:numPr>
          <w:ilvl w:val="0"/>
          <w:numId w:val="1008"/>
        </w:numPr>
        <w:pStyle w:val="Compact"/>
      </w:pPr>
      <w:r>
        <w:rPr>
          <w:iCs/>
          <w:i/>
        </w:rPr>
        <w:t xml:space="preserve">topX_AA_AVG_CDR3_length</w:t>
      </w:r>
      <w:r>
        <w:t xml:space="preserve">: Average CDR3 amino acid length for the top 10, 100, and 1000 clones per individual.</w:t>
      </w:r>
    </w:p>
    <w:p>
      <w:pPr>
        <w:numPr>
          <w:ilvl w:val="0"/>
          <w:numId w:val="1008"/>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9"/>
        </w:numPr>
        <w:pStyle w:val="Compact"/>
      </w:pPr>
      <w:r>
        <w:rPr>
          <w:iCs/>
          <w:i/>
        </w:rPr>
        <w:t xml:space="preserve">v_gene_usage</w:t>
      </w:r>
      <w:r>
        <w:t xml:space="preserve">: Clone count and total copies per V gene per individual.</w:t>
      </w:r>
    </w:p>
    <w:bookmarkEnd w:id="46"/>
    <w:bookmarkStart w:id="4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10"/>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10"/>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10"/>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 [12].</w:t>
      </w:r>
    </w:p>
    <w:p>
      <w:pPr>
        <w:numPr>
          <w:ilvl w:val="0"/>
          <w:numId w:val="1010"/>
        </w:numPr>
      </w:pPr>
      <w:r>
        <w:rPr>
          <w:bCs/>
          <w:b/>
        </w:rPr>
        <w:t xml:space="preserve">CDR3 length</w:t>
      </w:r>
      <w:r>
        <w:t xml:space="preserve">: Mean and standard deviation of CDR3 amino acid length across all clones per individual.</w:t>
      </w:r>
    </w:p>
    <w:p>
      <w:pPr>
        <w:numPr>
          <w:ilvl w:val="0"/>
          <w:numId w:val="1010"/>
        </w:numPr>
      </w:pPr>
      <w:r>
        <w:rPr>
          <w:bCs/>
          <w:b/>
        </w:rPr>
        <w:t xml:space="preserve">V gene usage</w:t>
      </w:r>
      <w:r>
        <w:t xml:space="preserve">: Frequency of each V gene across individuals, filtered to V genes present at 1% or higher frequency in at least 85% of individuals.</w:t>
      </w:r>
    </w:p>
    <w:bookmarkEnd w:id="47"/>
    <w:bookmarkStart w:id="4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8"/>
    <w:bookmarkStart w:id="4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9"/>
    <w:bookmarkEnd w:id="50"/>
    <w:bookmarkStart w:id="156" w:name="results"/>
    <w:p>
      <w:pPr>
        <w:pStyle w:val="Heading1"/>
      </w:pPr>
      <w:r>
        <w:t xml:space="preserve">Results</w:t>
      </w:r>
    </w:p>
    <w:bookmarkStart w:id="121" w:name="part-1-is-api-tool-capabilities-1"/>
    <w:p>
      <w:pPr>
        <w:pStyle w:val="Heading2"/>
      </w:pPr>
      <w:r>
        <w:t xml:space="preserve">Part 1: IS-API Tool Capabilities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w:t>
      </w:r>
    </w:p>
    <w:bookmarkStart w:id="69" w:name="metadata-overview"/>
    <w:p>
      <w:pPr>
        <w:pStyle w:val="Heading3"/>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number of subjects per dataset and sequencing depth per subject." title="" id="52" name="Picture"/>
            <a:graphic>
              <a:graphicData uri="http://schemas.openxmlformats.org/drawingml/2006/picture">
                <pic:pic>
                  <pic:nvPicPr>
                    <pic:cNvPr descr="../immunedb_STATS_API/metadata/plots/06_sampling_depth.png" id="53" name="Picture"/>
                    <pic:cNvPicPr>
                      <a:picLocks noChangeArrowheads="1" noChangeAspect="1"/>
                    </pic:cNvPicPr>
                  </pic:nvPicPr>
                  <pic:blipFill>
                    <a:blip r:embed="rId51"/>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number of subjects per dataset and sequencing depth per subject.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title="" id="55" name="Picture"/>
            <a:graphic>
              <a:graphicData uri="http://schemas.openxmlformats.org/drawingml/2006/picture">
                <pic:pic>
                  <pic:nvPicPr>
                    <pic:cNvPr descr="../immunedb_STATS_API/metadata/plots/00_metadata_per_dataset.png" id="56" name="Picture"/>
                    <pic:cNvPicPr>
                      <a:picLocks noChangeArrowheads="1" noChangeAspect="1"/>
                    </pic:cNvPicPr>
                  </pic:nvPicPr>
                  <pic:blipFill>
                    <a:blip r:embed="rId54"/>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13 categories)." title="" id="58" name="Picture"/>
            <a:graphic>
              <a:graphicData uri="http://schemas.openxmlformats.org/drawingml/2006/picture">
                <pic:pic>
                  <pic:nvPicPr>
                    <pic:cNvPr descr="../immunedb_STATS_API/metadata/plots/02_disease_stage_raw.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(13 categories).</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title="" id="61" name="Picture"/>
            <a:graphic>
              <a:graphicData uri="http://schemas.openxmlformats.org/drawingml/2006/picture">
                <pic:pic>
                  <pic:nvPicPr>
                    <pic:cNvPr descr="../immunedb_STATS_API/metadata/plots/04_disease_harmonized_with_labels.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1"/>
        </w:numPr>
        <w:pStyle w:val="Compact"/>
      </w:pPr>
      <w:r>
        <w:t xml:space="preserve">Severe and Mild individuals span a wide age range (20-88 years), while Recovered and COVID Naive individuals tend to be younger (20-50 years).</w:t>
      </w:r>
    </w:p>
    <w:p>
      <w:pPr>
        <w:numPr>
          <w:ilvl w:val="0"/>
          <w:numId w:val="1011"/>
        </w:numPr>
        <w:pStyle w:val="Compact"/>
      </w:pPr>
      <w:r>
        <w:t xml:space="preserve">The Healthy group has a moderate age range (23-58 years).</w:t>
      </w:r>
    </w:p>
    <w:p>
      <w:pPr>
        <w:numPr>
          <w:ilvl w:val="0"/>
          <w:numId w:val="1011"/>
        </w:numPr>
        <w:pStyle w:val="Compact"/>
      </w:pPr>
      <w:r>
        <w:t xml:space="preserve">Sex data is missing for several individuals in CD3 (shown as X markers), limiting sex-stratified analyses in those disease categories.</w:t>
      </w:r>
    </w:p>
    <w:p>
      <w:pPr>
        <w:numPr>
          <w:ilvl w:val="0"/>
          <w:numId w:val="1011"/>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title="" id="64" name="Picture"/>
            <a:graphic>
              <a:graphicData uri="http://schemas.openxmlformats.org/drawingml/2006/picture">
                <pic:pic>
                  <pic:nvPicPr>
                    <pic:cNvPr descr="../immunedb_STATS_API/metadata/plots/05_demographics_scatter.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24-25).</w:t>
      </w:r>
    </w:p>
    <w:p>
      <w:pPr>
        <w:pStyle w:val="CaptionedFigure"/>
      </w:pPr>
      <w:r>
        <w:drawing>
          <wp:inline>
            <wp:extent cx="5334000" cy="3282461"/>
            <wp:effectExtent b="0" l="0" r="0" t="0"/>
            <wp:docPr descr="Metadata Figure 6. Heatmap of individual counts across disease category, age group, and sex." title="" id="67" name="Picture"/>
            <a:graphic>
              <a:graphicData uri="http://schemas.openxmlformats.org/drawingml/2006/picture">
                <pic:pic>
                  <pic:nvPicPr>
                    <pic:cNvPr descr="../immunedb_STATS_API/metadata/plots/03e_heatmap_disease_age_sex.png" id="68" name="Picture"/>
                    <pic:cNvPicPr>
                      <a:picLocks noChangeArrowheads="1" noChangeAspect="1"/>
                    </pic:cNvPicPr>
                  </pic:nvPicPr>
                  <pic:blipFill>
                    <a:blip r:embed="rId66"/>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w:t>
      </w:r>
    </w:p>
    <w:bookmarkEnd w:id="69"/>
    <w:bookmarkStart w:id="109" w:name="X0dc5015c466ba5f8101d47296a0fe60ee5a0057"/>
    <w:p>
      <w:pPr>
        <w:pStyle w:val="Heading3"/>
      </w:pPr>
      <w:r>
        <w:t xml:space="preserve">Querying Repertoire Statistics Across Studies</w:t>
      </w:r>
    </w:p>
    <w:p>
      <w:pPr>
        <w:pStyle w:val="FirstParagraph"/>
      </w:pPr>
      <w:r>
        <w:t xml:space="preserve">Having characterized the metadata landscape, we used IS-API’s biological-statistical endpoints to query repertoire measures across all six studies, filtering for blood-derived samples and grouping by disease stage. The following figures demonstrate the breadth of questions that can be answered through the API.</w:t>
      </w:r>
    </w:p>
    <w:p>
      <w:pPr>
        <w:pStyle w:val="BodyText"/>
      </w:pPr>
      <w:r>
        <w:rPr>
          <w:bCs/>
          <w:b/>
        </w:rPr>
        <w:t xml:space="preserve">Clone count.</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w:t>
      </w:r>
    </w:p>
    <w:p>
      <w:pPr>
        <w:pStyle w:val="CaptionedFigure"/>
      </w:pPr>
      <w:r>
        <w:drawing>
          <wp:inline>
            <wp:extent cx="5334000" cy="3556000"/>
            <wp:effectExtent b="0" l="0" r="0" t="0"/>
            <wp:docPr descr="Figure 1. Clone count distribution by disease stage." title="" id="71" name="Picture"/>
            <a:graphic>
              <a:graphicData uri="http://schemas.openxmlformats.org/drawingml/2006/picture">
                <pic:pic>
                  <pic:nvPicPr>
                    <pic:cNvPr descr="../immunedb_STATS_API/clonal_analysis/plots/01_clone_count_by_diseas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Clone count distribution by disease stage.</w:t>
      </w:r>
    </w:p>
    <w:p>
      <w:pPr>
        <w:pStyle w:val="BodyText"/>
      </w:pPr>
      <w:r>
        <w:rPr>
          <w:bCs/>
          <w:b/>
        </w:rPr>
        <w:t xml:space="preserve">Expanded clone count.</w:t>
      </w:r>
      <w:r>
        <w:t xml:space="preserve"> </w:t>
      </w:r>
      <w:r>
        <w:t xml:space="preserve">The count of expanded clones per individual showed how many clones exceed the expansion threshold in each disease category (</w:t>
      </w:r>
      <w:r>
        <w:rPr>
          <w:bCs/>
          <w:b/>
        </w:rPr>
        <w:t xml:space="preserve">Figure 10</w:t>
      </w:r>
      <w:r>
        <w:t xml:space="preserve">).</w:t>
      </w:r>
    </w:p>
    <w:p>
      <w:pPr>
        <w:pStyle w:val="CaptionedFigure"/>
      </w:pPr>
      <w:r>
        <w:drawing>
          <wp:inline>
            <wp:extent cx="5334000" cy="3556000"/>
            <wp:effectExtent b="0" l="0" r="0" t="0"/>
            <wp:docPr descr="Figure 10. Expanded clone count by disease stage." title="" id="74" name="Picture"/>
            <a:graphic>
              <a:graphicData uri="http://schemas.openxmlformats.org/drawingml/2006/picture">
                <pic:pic>
                  <pic:nvPicPr>
                    <pic:cNvPr descr="../immunedb_STATS_API/clonal_analysis/plots/10_expanded_clones_by_disease.png" id="75" name="Picture"/>
                    <pic:cNvPicPr>
                      <a:picLocks noChangeArrowheads="1" noChangeAspect="1"/>
                    </pic:cNvPicPr>
                  </pic:nvPicPr>
                  <pic:blipFill>
                    <a:blip r:embed="rId7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 Expanded clone count by disease stage.</w:t>
      </w:r>
    </w:p>
    <w:p>
      <w:pPr>
        <w:pStyle w:val="BodyText"/>
      </w:pPr>
      <w:r>
        <w:rPr>
          <w:bCs/>
          <w:b/>
        </w:rPr>
        <w:t xml:space="preserve">Clone size distribution.</w:t>
      </w:r>
      <w:r>
        <w:t xml:space="preserve"> </w:t>
      </w:r>
      <w:r>
        <w:t xml:space="preserve">The clone_size endpoint returned the distribution of clone sizes across disease categories (</w:t>
      </w:r>
      <w:r>
        <w:rPr>
          <w:bCs/>
          <w:b/>
        </w:rPr>
        <w:t xml:space="preserve">Figure 9</w:t>
      </w:r>
      <w:r>
        <w:t xml:space="preserve">), providing a view of how clone sizes are distributed within each group.</w:t>
      </w:r>
    </w:p>
    <w:p>
      <w:pPr>
        <w:pStyle w:val="CaptionedFigure"/>
      </w:pPr>
      <w:r>
        <w:drawing>
          <wp:inline>
            <wp:extent cx="5334000" cy="3556000"/>
            <wp:effectExtent b="0" l="0" r="0" t="0"/>
            <wp:docPr descr="Figure 9. Clone size distribution by disease stage." title="" id="77" name="Picture"/>
            <a:graphic>
              <a:graphicData uri="http://schemas.openxmlformats.org/drawingml/2006/picture">
                <pic:pic>
                  <pic:nvPicPr>
                    <pic:cNvPr descr="../immunedb_STATS_API/clonal_analysis/plots/09_clone_size_by_disease.png" id="78" name="Picture"/>
                    <pic:cNvPicPr>
                      <a:picLocks noChangeArrowheads="1" noChangeAspect="1"/>
                    </pic:cNvPicPr>
                  </pic:nvPicPr>
                  <pic:blipFill>
                    <a:blip r:embed="rId7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Clone size distribution by disease stage.</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11</w:t>
      </w:r>
      <w:r>
        <w:t xml:space="preserve">).</w:t>
      </w:r>
    </w:p>
    <w:p>
      <w:pPr>
        <w:pStyle w:val="CaptionedFigure"/>
      </w:pPr>
      <w:r>
        <w:drawing>
          <wp:inline>
            <wp:extent cx="5334000" cy="3556000"/>
            <wp:effectExtent b="0" l="0" r="0" t="0"/>
            <wp:docPr descr="Figure 11. Expanded clone size by disease stage." title="" id="80" name="Picture"/>
            <a:graphic>
              <a:graphicData uri="http://schemas.openxmlformats.org/drawingml/2006/picture">
                <pic:pic>
                  <pic:nvPicPr>
                    <pic:cNvPr descr="../immunedb_STATS_API/clonal_analysis/plots/11_expanded_clone_size_by_disease.png" id="81" name="Picture"/>
                    <pic:cNvPicPr>
                      <a:picLocks noChangeArrowheads="1" noChangeAspect="1"/>
                    </pic:cNvPicPr>
                  </pic:nvPicPr>
                  <pic:blipFill>
                    <a:blip r:embed="rId7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Expanded clone size by disease stage.</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CaptionedFigure"/>
      </w:pPr>
      <w:r>
        <w:drawing>
          <wp:inline>
            <wp:extent cx="5334000" cy="2667000"/>
            <wp:effectExtent b="0" l="0" r="0" t="0"/>
            <wp:docPr descr="Figure 2. Top X clone fraction by disease stage." title="" id="83" name="Picture"/>
            <a:graphic>
              <a:graphicData uri="http://schemas.openxmlformats.org/drawingml/2006/picture">
                <pic:pic>
                  <pic:nvPicPr>
                    <pic:cNvPr descr="../immunedb_STATS_API/clonal_analysis/plots/02_topX_stacked_by_disease.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 Top X clone fraction by disease stage.</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3. CDR3 length by disease stage." title="" id="86" name="Picture"/>
            <a:graphic>
              <a:graphicData uri="http://schemas.openxmlformats.org/drawingml/2006/picture">
                <pic:pic>
                  <pic:nvPicPr>
                    <pic:cNvPr descr="../immunedb_STATS_API/clonal_analysis/plots/03_cdr3_by_disease.png" id="87" name="Picture"/>
                    <pic:cNvPicPr>
                      <a:picLocks noChangeArrowheads="1" noChangeAspect="1"/>
                    </pic:cNvPicPr>
                  </pic:nvPicPr>
                  <pic:blipFill>
                    <a:blip r:embed="rId8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3. CDR3 length by disease stage.</w:t>
      </w:r>
    </w:p>
    <w:p>
      <w:pPr>
        <w:pStyle w:val="CaptionedFigure"/>
      </w:pPr>
      <w:r>
        <w:drawing>
          <wp:inline>
            <wp:extent cx="5334000" cy="3556000"/>
            <wp:effectExtent b="0" l="0" r="0" t="0"/>
            <wp:docPr descr="Figure 4. CDR3 length range by disease stage." title="" id="89" name="Picture"/>
            <a:graphic>
              <a:graphicData uri="http://schemas.openxmlformats.org/drawingml/2006/picture">
                <pic:pic>
                  <pic:nvPicPr>
                    <pic:cNvPr descr="../immunedb_STATS_API/clonal_analysis/plots/04_cdr3_range_by_disease.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CDR3 length range by disease stage.</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CaptionedFigure"/>
      </w:pPr>
      <w:r>
        <w:drawing>
          <wp:inline>
            <wp:extent cx="5334000" cy="3048000"/>
            <wp:effectExtent b="0" l="0" r="0" t="0"/>
            <wp:docPr descr="Figure 5. Total mutation level by disease stage." title="" id="92" name="Picture"/>
            <a:graphic>
              <a:graphicData uri="http://schemas.openxmlformats.org/drawingml/2006/picture">
                <pic:pic>
                  <pic:nvPicPr>
                    <pic:cNvPr descr="../immunedb_STATS_API/clonal_analysis/plots/05_mutation_by_disease.png" id="93" name="Picture"/>
                    <pic:cNvPicPr>
                      <a:picLocks noChangeArrowheads="1" noChangeAspect="1"/>
                    </pic:cNvPicPr>
                  </pic:nvPicPr>
                  <pic:blipFill>
                    <a:blip r:embed="rId9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 Total mutation level by disease stage.</w:t>
      </w:r>
    </w:p>
    <w:p>
      <w:pPr>
        <w:pStyle w:val="CaptionedFigure"/>
      </w:pPr>
      <w:r>
        <w:drawing>
          <wp:inline>
            <wp:extent cx="5334000" cy="3556000"/>
            <wp:effectExtent b="0" l="0" r="0" t="0"/>
            <wp:docPr descr="Figure 6. Mutation gradient across clone size ranks." title="" id="95" name="Picture"/>
            <a:graphic>
              <a:graphicData uri="http://schemas.openxmlformats.org/drawingml/2006/picture">
                <pic:pic>
                  <pic:nvPicPr>
                    <pic:cNvPr descr="../immunedb_STATS_API/clonal_analysis/plots/06_mutation_gradient_by_disease.png" id="96" name="Picture"/>
                    <pic:cNvPicPr>
                      <a:picLocks noChangeArrowheads="1" noChangeAspect="1"/>
                    </pic:cNvPicPr>
                  </pic:nvPicPr>
                  <pic:blipFill>
                    <a:blip r:embed="rId9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Mutation gradient across clone size ranks.</w:t>
      </w:r>
    </w:p>
    <w:p>
      <w:pPr>
        <w:pStyle w:val="CaptionedFigure"/>
      </w:pPr>
      <w:r>
        <w:drawing>
          <wp:inline>
            <wp:extent cx="5334000" cy="3556000"/>
            <wp:effectExtent b="0" l="0" r="0" t="0"/>
            <wp:docPr descr="Figure 7. CDR and FW region mutations by disease stage." title="" id="98" name="Picture"/>
            <a:graphic>
              <a:graphicData uri="http://schemas.openxmlformats.org/drawingml/2006/picture">
                <pic:pic>
                  <pic:nvPicPr>
                    <pic:cNvPr descr="../immunedb_STATS_API/clonal_analysis/plots/07_cdr_mutations_by_disease.png" id="99" name="Picture"/>
                    <pic:cNvPicPr>
                      <a:picLocks noChangeArrowheads="1" noChangeAspect="1"/>
                    </pic:cNvPicPr>
                  </pic:nvPicPr>
                  <pic:blipFill>
                    <a:blip r:embed="rId9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 CDR and FW region mutations by disease stage.</w:t>
      </w:r>
    </w:p>
    <w:p>
      <w:pPr>
        <w:pStyle w:val="CaptionedFigure"/>
      </w:pPr>
      <w:r>
        <w:drawing>
          <wp:inline>
            <wp:extent cx="5334000" cy="3048000"/>
            <wp:effectExtent b="0" l="0" r="0" t="0"/>
            <wp:docPr descr="Figure 8. NS/S ratio by disease stage." title="" id="101" name="Picture"/>
            <a:graphic>
              <a:graphicData uri="http://schemas.openxmlformats.org/drawingml/2006/picture">
                <pic:pic>
                  <pic:nvPicPr>
                    <pic:cNvPr descr="../immunedb_STATS_API/clonal_analysis/plots/08_rs_ratio_by_disease.png" id="102" name="Picture"/>
                    <pic:cNvPicPr>
                      <a:picLocks noChangeArrowheads="1" noChangeAspect="1"/>
                    </pic:cNvPicPr>
                  </pic:nvPicPr>
                  <pic:blipFill>
                    <a:blip r:embed="rId10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NS/S ratio by disease stage.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2. Mutation level in top 10 clones by sex and disease stage." title="" id="104" name="Picture"/>
            <a:graphic>
              <a:graphicData uri="http://schemas.openxmlformats.org/drawingml/2006/picture">
                <pic:pic>
                  <pic:nvPicPr>
                    <pic:cNvPr descr="../immunedb_STATS_API/clonal_analysis/plots/12_mutation_top10_by_sex_disease.png" id="105" name="Picture"/>
                    <pic:cNvPicPr>
                      <a:picLocks noChangeArrowheads="1" noChangeAspect="1"/>
                    </pic:cNvPicPr>
                  </pic:nvPicPr>
                  <pic:blipFill>
                    <a:blip r:embed="rId10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 Mutation level in top 10 clones by sex and disease stage.</w:t>
      </w:r>
    </w:p>
    <w:p>
      <w:pPr>
        <w:pStyle w:val="CaptionedFigure"/>
      </w:pPr>
      <w:r>
        <w:drawing>
          <wp:inline>
            <wp:extent cx="5334000" cy="3048000"/>
            <wp:effectExtent b="0" l="0" r="0" t="0"/>
            <wp:docPr descr="Figure 13. CDR3 length in top 10 clones by sex and disease stage." title="" id="107" name="Picture"/>
            <a:graphic>
              <a:graphicData uri="http://schemas.openxmlformats.org/drawingml/2006/picture">
                <pic:pic>
                  <pic:nvPicPr>
                    <pic:cNvPr descr="../immunedb_STATS_API/clonal_analysis/plots/13_cdr3_top10_by_sex_disease.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CDR3 length in top 10 clones by sex and disease stage.</w:t>
      </w:r>
    </w:p>
    <w:bookmarkEnd w:id="109"/>
    <w:bookmarkStart w:id="119"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CaptionedFigure"/>
      </w:pPr>
      <w:r>
        <w:drawing>
          <wp:inline>
            <wp:extent cx="5334000" cy="3306593"/>
            <wp:effectExtent b="0" l="0" r="0" t="0"/>
            <wp:docPr descr="Figure 14. Within-individual clone count across tissues." title="" id="111" name="Picture"/>
            <a:graphic>
              <a:graphicData uri="http://schemas.openxmlformats.org/drawingml/2006/picture">
                <pic:pic>
                  <pic:nvPicPr>
                    <pic:cNvPr descr="../immunedb_STATS_API/clonal_analysis/plots/14_within_subject_clone_count.png" id="112" name="Picture"/>
                    <pic:cNvPicPr>
                      <a:picLocks noChangeArrowheads="1" noChangeAspect="1"/>
                    </pic:cNvPicPr>
                  </pic:nvPicPr>
                  <pic:blipFill>
                    <a:blip r:embed="rId110"/>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14. Within-individual clone count across tissues.</w:t>
      </w:r>
    </w:p>
    <w:p>
      <w:pPr>
        <w:pStyle w:val="CaptionedFigure"/>
      </w:pPr>
      <w:r>
        <w:drawing>
          <wp:inline>
            <wp:extent cx="5334000" cy="2471482"/>
            <wp:effectExtent b="0" l="0" r="0" t="0"/>
            <wp:docPr descr="Figure 15. Within-individual clone size across tissues." title="" id="114" name="Picture"/>
            <a:graphic>
              <a:graphicData uri="http://schemas.openxmlformats.org/drawingml/2006/picture">
                <pic:pic>
                  <pic:nvPicPr>
                    <pic:cNvPr descr="../immunedb_STATS_API/clonal_analysis/plots/15_within_subject_clone_size_cross_study.png" id="115" name="Picture"/>
                    <pic:cNvPicPr>
                      <a:picLocks noChangeArrowheads="1" noChangeAspect="1"/>
                    </pic:cNvPicPr>
                  </pic:nvPicPr>
                  <pic:blipFill>
                    <a:blip r:embed="rId113"/>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15. Within-individual clone size across tissues.</w:t>
      </w:r>
    </w:p>
    <w:p>
      <w:pPr>
        <w:pStyle w:val="CaptionedFigure"/>
      </w:pPr>
      <w:r>
        <w:drawing>
          <wp:inline>
            <wp:extent cx="5334000" cy="3719514"/>
            <wp:effectExtent b="0" l="0" r="0" t="0"/>
            <wp:docPr descr="Figure 16. Within-individual tissue comparison (paired line plots)." title="" id="117" name="Picture"/>
            <a:graphic>
              <a:graphicData uri="http://schemas.openxmlformats.org/drawingml/2006/picture">
                <pic:pic>
                  <pic:nvPicPr>
                    <pic:cNvPr descr="../immunedb_STATS_API/clonal_analysis/plots/16_within_subject_tissue_lines.png" id="118" name="Picture"/>
                    <pic:cNvPicPr>
                      <a:picLocks noChangeArrowheads="1" noChangeAspect="1"/>
                    </pic:cNvPicPr>
                  </pic:nvPicPr>
                  <pic:blipFill>
                    <a:blip r:embed="rId11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16. Within-individual tissue comparison (paired line plots).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19"/>
    <w:bookmarkStart w:id="120" w:name="Xae1d9efdc0976dc4f64fa25a6796757be558d86"/>
    <w:p>
      <w:pPr>
        <w:pStyle w:val="Heading3"/>
      </w:pPr>
      <w:r>
        <w:t xml:space="preserve">Summary: Characterizing the Possibilities and Limitations of the Data</w:t>
      </w:r>
    </w:p>
    <w:p>
      <w:pPr>
        <w:pStyle w:val="FirstParagraph"/>
      </w:pPr>
      <w:r>
        <w:t xml:space="preserve">The metadata analysis enabled by IS-API revealed both the strengths and limitations of the available data. The strengths include a large cohort (94 individuals after exclusions) spanning six disease categories with data from six independent studies. The limitations include: (1) uneven sample sizes across disease categories, with Mild being the largest and COVID Naive the smallest; (2) incomplete sex metadata, particularly for CD3; (3) age distribution that is not uniform across disease categories, with severe individuals tending to be older; and (4) the Recovered group containing a mix of naturally recovered and vaccine-recovered individuals. These observations, all obtainable within minutes through IS-API queries, informed the design of the focused clonal analysis presented in Part 2.</w:t>
      </w:r>
    </w:p>
    <w:bookmarkEnd w:id="120"/>
    <w:bookmarkEnd w:id="121"/>
    <w:bookmarkStart w:id="155"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128"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CaptionedFigure"/>
      </w:pPr>
      <w:r>
        <w:drawing>
          <wp:inline>
            <wp:extent cx="5334000" cy="1845482"/>
            <wp:effectExtent b="0" l="0" r="0" t="0"/>
            <wp:docPr descr="Figure 17. Clonal diversity: Hill numbers (Order 0, 1, 2) by disease stage." title="" id="123" name="Picture"/>
            <a:graphic>
              <a:graphicData uri="http://schemas.openxmlformats.org/drawingml/2006/picture">
                <pic:pic>
                  <pic:nvPicPr>
                    <pic:cNvPr descr="../immunedb_STATS_API/clonal_analysis/plots/17_diversity_hill_numbers.png" id="124" name="Picture"/>
                    <pic:cNvPicPr>
                      <a:picLocks noChangeArrowheads="1" noChangeAspect="1"/>
                    </pic:cNvPicPr>
                  </pic:nvPicPr>
                  <pic:blipFill>
                    <a:blip r:embed="rId122"/>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17. Clonal diversity: Hill numbers (Order 0, 1, 2) by disease stage.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8. Diversity profiles by disease stage." title="" id="126" name="Picture"/>
            <a:graphic>
              <a:graphicData uri="http://schemas.openxmlformats.org/drawingml/2006/picture">
                <pic:pic>
                  <pic:nvPicPr>
                    <pic:cNvPr descr="../immunedb_STATS_API/clonal_analysis/plots/18_diversity_profiles.png" id="127" name="Picture"/>
                    <pic:cNvPicPr>
                      <a:picLocks noChangeArrowheads="1" noChangeAspect="1"/>
                    </pic:cNvPicPr>
                  </pic:nvPicPr>
                  <pic:blipFill>
                    <a:blip r:embed="rId125"/>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18. Diversity profiles by disease stage.</w:t>
      </w:r>
    </w:p>
    <w:bookmarkEnd w:id="128"/>
    <w:bookmarkStart w:id="135"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w:t>
      </w:r>
    </w:p>
    <w:p>
      <w:pPr>
        <w:pStyle w:val="CaptionedFigure"/>
      </w:pPr>
      <w:r>
        <w:drawing>
          <wp:inline>
            <wp:extent cx="5334000" cy="1757149"/>
            <wp:effectExtent b="0" l="0" r="0" t="0"/>
            <wp:docPr descr="Figure 19. Expanded clones at different thresholds by disease stage." title="" id="130" name="Picture"/>
            <a:graphic>
              <a:graphicData uri="http://schemas.openxmlformats.org/drawingml/2006/picture">
                <pic:pic>
                  <pic:nvPicPr>
                    <pic:cNvPr descr="../immunedb_STATS_API/clonal_analysis/plots/19_expanded_clones_threshold.png" id="131" name="Picture"/>
                    <pic:cNvPicPr>
                      <a:picLocks noChangeArrowheads="1" noChangeAspect="1"/>
                    </pic:cNvPicPr>
                  </pic:nvPicPr>
                  <pic:blipFill>
                    <a:blip r:embed="rId129"/>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19. Expanded clones at different thresholds by disease stage.</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w:t>
      </w:r>
    </w:p>
    <w:p>
      <w:pPr>
        <w:pStyle w:val="CaptionedFigure"/>
      </w:pPr>
      <w:r>
        <w:drawing>
          <wp:inline>
            <wp:extent cx="5334000" cy="2316067"/>
            <wp:effectExtent b="0" l="0" r="0" t="0"/>
            <wp:docPr descr="Figure 20. Clone size distribution by disease stage." title="" id="133" name="Picture"/>
            <a:graphic>
              <a:graphicData uri="http://schemas.openxmlformats.org/drawingml/2006/picture">
                <pic:pic>
                  <pic:nvPicPr>
                    <pic:cNvPr descr="../immunedb_STATS_API/clonal_analysis/plots/20_clone_size_distribution.png" id="134" name="Picture"/>
                    <pic:cNvPicPr>
                      <a:picLocks noChangeArrowheads="1" noChangeAspect="1"/>
                    </pic:cNvPicPr>
                  </pic:nvPicPr>
                  <pic:blipFill>
                    <a:blip r:embed="rId132"/>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20. Clone size distribution by disease stage.</w:t>
      </w:r>
    </w:p>
    <w:p>
      <w:pPr>
        <w:pStyle w:val="BodyText"/>
      </w:pPr>
      <w:r>
        <w:t xml:space="preserve">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135"/>
    <w:bookmarkStart w:id="139"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CaptionedFigure"/>
      </w:pPr>
      <w:r>
        <w:drawing>
          <wp:inline>
            <wp:extent cx="5334000" cy="1845894"/>
            <wp:effectExtent b="0" l="0" r="0" t="0"/>
            <wp:docPr descr="Figure 21. NS/S ratio by region and disease stage." title="" id="137" name="Picture"/>
            <a:graphic>
              <a:graphicData uri="http://schemas.openxmlformats.org/drawingml/2006/picture">
                <pic:pic>
                  <pic:nvPicPr>
                    <pic:cNvPr descr="../immunedb_STATS_API/clonal_analysis/plots/21_mutations_rs_ratio.png" id="138" name="Picture"/>
                    <pic:cNvPicPr>
                      <a:picLocks noChangeArrowheads="1" noChangeAspect="1"/>
                    </pic:cNvPicPr>
                  </pic:nvPicPr>
                  <pic:blipFill>
                    <a:blip r:embed="rId136"/>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21. NS/S ratio by region and disease stage.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39"/>
    <w:bookmarkStart w:id="143"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CaptionedFigure"/>
      </w:pPr>
      <w:r>
        <w:drawing>
          <wp:inline>
            <wp:extent cx="5334000" cy="2310924"/>
            <wp:effectExtent b="0" l="0" r="0" t="0"/>
            <wp:docPr descr="Figure 22. CDR3 length distribution (mean and SD) by disease stage." title="" id="141" name="Picture"/>
            <a:graphic>
              <a:graphicData uri="http://schemas.openxmlformats.org/drawingml/2006/picture">
                <pic:pic>
                  <pic:nvPicPr>
                    <pic:cNvPr descr="../immunedb_STATS_API/clonal_analysis/plots/22_cdr3_length_distribution.png" id="142" name="Picture"/>
                    <pic:cNvPicPr>
                      <a:picLocks noChangeArrowheads="1" noChangeAspect="1"/>
                    </pic:cNvPicPr>
                  </pic:nvPicPr>
                  <pic:blipFill>
                    <a:blip r:embed="rId140"/>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22. CDR3 length distribution (mean and SD) by disease stage.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43"/>
    <w:bookmarkStart w:id="147"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w:t>
      </w:r>
    </w:p>
    <w:p>
      <w:pPr>
        <w:pStyle w:val="CaptionedFigure"/>
      </w:pPr>
      <w:r>
        <w:drawing>
          <wp:inline>
            <wp:extent cx="5334000" cy="2762409"/>
            <wp:effectExtent b="0" l="0" r="0" t="0"/>
            <wp:docPr descr="Figure 23. V gene usage heatmap by disease stage." title="" id="145" name="Picture"/>
            <a:graphic>
              <a:graphicData uri="http://schemas.openxmlformats.org/drawingml/2006/picture">
                <pic:pic>
                  <pic:nvPicPr>
                    <pic:cNvPr descr="../immunedb_STATS_API/clonal_analysis/plots/23_v_gene_usage_heatmap.png" id="146" name="Picture"/>
                    <pic:cNvPicPr>
                      <a:picLocks noChangeArrowheads="1" noChangeAspect="1"/>
                    </pic:cNvPicPr>
                  </pic:nvPicPr>
                  <pic:blipFill>
                    <a:blip r:embed="rId144"/>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23. V gene usage heatmap by disease stage.</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47"/>
    <w:bookmarkStart w:id="154"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24. Clonal metrics versus age by disease stage." title="" id="149" name="Picture"/>
            <a:graphic>
              <a:graphicData uri="http://schemas.openxmlformats.org/drawingml/2006/picture">
                <pic:pic>
                  <pic:nvPicPr>
                    <pic:cNvPr descr="../immunedb_STATS_API/clonal_analysis/plots/24_metrics_vs_age.png" id="150" name="Picture"/>
                    <pic:cNvPicPr>
                      <a:picLocks noChangeArrowheads="1" noChangeAspect="1"/>
                    </pic:cNvPicPr>
                  </pic:nvPicPr>
                  <pic:blipFill>
                    <a:blip r:embed="rId148"/>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24. Clonal metrics versus age by disease stage.</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5. Clonal metrics by gender and disease stage." title="" id="152" name="Picture"/>
            <a:graphic>
              <a:graphicData uri="http://schemas.openxmlformats.org/drawingml/2006/picture">
                <pic:pic>
                  <pic:nvPicPr>
                    <pic:cNvPr descr="../immunedb_STATS_API/clonal_analysis/plots/25_metrics_vs_gender.png" id="153" name="Picture"/>
                    <pic:cNvPicPr>
                      <a:picLocks noChangeArrowheads="1" noChangeAspect="1"/>
                    </pic:cNvPicPr>
                  </pic:nvPicPr>
                  <pic:blipFill>
                    <a:blip r:embed="rId151"/>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25. Clonal metrics by gender and disease stage.</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54"/>
    <w:bookmarkEnd w:id="155"/>
    <w:bookmarkEnd w:id="156"/>
    <w:bookmarkStart w:id="161" w:name="discussion-and-conclusions"/>
    <w:p>
      <w:pPr>
        <w:pStyle w:val="Heading1"/>
      </w:pPr>
      <w:r>
        <w:t xml:space="preserve">Discussion and Conclusions</w:t>
      </w:r>
    </w:p>
    <w:bookmarkStart w:id="157"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7"/>
    <w:bookmarkStart w:id="158"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8"/>
    <w:bookmarkStart w:id="159"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9"/>
    <w:bookmarkStart w:id="160"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60"/>
    <w:bookmarkEnd w:id="161"/>
    <w:bookmarkStart w:id="162" w:name="references"/>
    <w:p>
      <w:pPr>
        <w:pStyle w:val="Heading1"/>
      </w:pPr>
      <w:r>
        <w:t xml:space="preserve">References</w:t>
      </w:r>
    </w:p>
    <w:p>
      <w:pPr>
        <w:numPr>
          <w:ilvl w:val="0"/>
          <w:numId w:val="1012"/>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2"/>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2"/>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2"/>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2"/>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2"/>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2"/>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2"/>
        </w:numPr>
      </w:pPr>
      <w:r>
        <w:t xml:space="preserve">Victora, G. D., &amp; Nussenzweig, M. C. (2012). Germinal centers.</w:t>
      </w:r>
      <w:r>
        <w:t xml:space="preserve"> </w:t>
      </w:r>
      <w:r>
        <w:rPr>
          <w:iCs/>
          <w:i/>
        </w:rPr>
        <w:t xml:space="preserve">Annual Review of Immunology</w:t>
      </w:r>
      <w:r>
        <w:t xml:space="preserve">, 30, 429-457.</w:t>
      </w:r>
    </w:p>
    <w:p>
      <w:pPr>
        <w:numPr>
          <w:ilvl w:val="0"/>
          <w:numId w:val="1012"/>
        </w:numPr>
      </w:pPr>
      <w:r>
        <w:t xml:space="preserve">Kim, D., &amp; Park, D. (2019). Deep sequencing of B cell receptor repertoire.</w:t>
      </w:r>
      <w:r>
        <w:t xml:space="preserve"> </w:t>
      </w:r>
      <w:r>
        <w:rPr>
          <w:iCs/>
          <w:i/>
        </w:rPr>
        <w:t xml:space="preserve">BMB Reports</w:t>
      </w:r>
      <w:r>
        <w:t xml:space="preserve">, 52(9), 540-547.</w:t>
      </w:r>
    </w:p>
    <w:p>
      <w:pPr>
        <w:numPr>
          <w:ilvl w:val="0"/>
          <w:numId w:val="1012"/>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2"/>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2"/>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2"/>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2"/>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2"/>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2"/>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2"/>
        </w:numPr>
      </w:pPr>
      <w:r>
        <w:t xml:space="preserve">iReceptor Gateway. https://gateway.ireceptor.org</w:t>
      </w:r>
    </w:p>
    <w:p>
      <w:pPr>
        <w:numPr>
          <w:ilvl w:val="0"/>
          <w:numId w:val="1012"/>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2"/>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2"/>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2"/>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2"/>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2"/>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2"/>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2"/>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2"/>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2"/>
        </w:numPr>
      </w:pPr>
      <w:r>
        <w:t xml:space="preserve">Lambert, M., Surhone, L., Tennoe, M. T., &amp; Henssonow, S. F. (2010).</w:t>
      </w:r>
      <w:r>
        <w:t xml:space="preserve"> </w:t>
      </w:r>
      <w:r>
        <w:rPr>
          <w:iCs/>
          <w:i/>
        </w:rPr>
        <w:t xml:space="preserve">Node.js</w:t>
      </w:r>
      <w:r>
        <w:t xml:space="preserve">. Betascript Publishing.</w:t>
      </w:r>
    </w:p>
    <w:p>
      <w:pPr>
        <w:numPr>
          <w:ilvl w:val="0"/>
          <w:numId w:val="1012"/>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2"/>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2"/>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2"/>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2"/>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2"/>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2"/>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2"/>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2"/>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2"/>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2"/>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2"/>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2"/>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2"/>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2"/>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2"/>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2"/>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2"/>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2"/>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2"/>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2"/>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2026-08-29T05:32:59Z</dcterms:created>
  <dcterms:modified xsi:type="dcterms:W3CDTF">2026-08-29T05:32:59Z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