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Results</w:t>
      </w:r>
    </w:p>
    <w:p>
      <w:r>
        <w:t>Clonal analysis was performed on immune repertoire data from 103 subjects across 7 studies (CD1, CD2, CD3, CVX1, CVX2, HC1, GT1), using peripheral blood samples only. Subjects were categorized into six disease groups: Severe (n=27), Mild (n=41), Moderate (n=9), Recovered (n=12), COVID Naive (n=8), and Healthy (n=6). Disease labels from individual studies were harmonized into these categories. Statistics were computed using the iReceptor Statistics API (v0.3.0) with a metadata fingerprint grouping approach that correctly aggregates per-tissue data across samples.</w:t>
      </w:r>
    </w:p>
    <w:p>
      <w:pPr>
        <w:pStyle w:val="Heading2"/>
      </w:pPr>
      <w:r>
        <w:t>1. Cohort Metadata and Demographics</w:t>
      </w:r>
    </w:p>
    <w:p>
      <w:r>
        <w:t>The study cohort was assembled from seven independent immune repertoire datasets retrieved via the iReceptor Gateway: CD1 (Covid19_db3, n=51), CD2 (covid_db2, n=19), CD3 (covid19, n=13), CVX1 (vaccine2, n=12), CVX2 (covid_vaccine_new, n=5), HC1 (lp16_Igblast), and GT1 (sykesIgblast2020). After excluding control samples (covid_vaccine_new-Fb, Water) and non-human subjects (lp16_Igblast-D159, D154, Hu-1), and removing healthy subjects from the CD3 study (H3, H4, H8), the final analysis included 103 subjects with peripheral blood data.</w:t>
      </w:r>
    </w:p>
    <w:p>
      <w:pPr>
        <w:pStyle w:val="Heading3"/>
      </w:pPr>
      <w:r>
        <w:t>1.1 Metadata Availability per Dataset</w:t>
      </w:r>
    </w:p>
    <w:p>
      <w:r>
        <w:t>Figure 1 summarizes the metadata fields available across datasets. All datasets provided disease stage and tissue information. Sex metadata was available for all datasets except CD3 and HC1. Age data was available for CD1, CD2, CVX1, and CVX2.</w:t>
      </w:r>
    </w:p>
    <w:p>
      <w:pPr>
        <w:jc w:val="center"/>
      </w:pPr>
      <w:r>
        <w:drawing>
          <wp:inline xmlns:a="http://schemas.openxmlformats.org/drawingml/2006/main" xmlns:pic="http://schemas.openxmlformats.org/drawingml/2006/picture">
            <wp:extent cx="6400800" cy="4114800"/>
            <wp:docPr id="1" name="Picture 1"/>
            <wp:cNvGraphicFramePr>
              <a:graphicFrameLocks noChangeAspect="1"/>
            </wp:cNvGraphicFramePr>
            <a:graphic>
              <a:graphicData uri="http://schemas.openxmlformats.org/drawingml/2006/picture">
                <pic:pic>
                  <pic:nvPicPr>
                    <pic:cNvPr id="0" name="00_metadata_per_dataset.png"/>
                    <pic:cNvPicPr/>
                  </pic:nvPicPr>
                  <pic:blipFill>
                    <a:blip r:embed="rId9"/>
                    <a:stretch>
                      <a:fillRect/>
                    </a:stretch>
                  </pic:blipFill>
                  <pic:spPr>
                    <a:xfrm>
                      <a:off x="0" y="0"/>
                      <a:ext cx="6400800" cy="4114800"/>
                    </a:xfrm>
                    <a:prstGeom prst="rect"/>
                  </pic:spPr>
                </pic:pic>
              </a:graphicData>
            </a:graphic>
          </wp:inline>
        </w:drawing>
      </w:r>
    </w:p>
    <w:p>
      <w:pPr>
        <w:jc w:val="center"/>
      </w:pPr>
      <w:r>
        <w:rPr>
          <w:i/>
          <w:sz w:val="20"/>
        </w:rPr>
        <w:t>Figure 1. Metadata availability per dataset. Bar heights indicate the number of subjects with each metadata type available.</w:t>
      </w:r>
    </w:p>
    <w:p/>
    <w:p>
      <w:pPr>
        <w:pStyle w:val="Heading3"/>
      </w:pPr>
      <w:r>
        <w:t>1.2 Subjects per Dataset</w:t>
      </w:r>
    </w:p>
    <w:p>
      <w:r>
        <w:t>Figure 2 shows the number of subjects contributed by each dataset. CD1 was the largest contributor (51 subjects), followed by CD2 (19) and CD3 (13).</w:t>
      </w:r>
    </w:p>
    <w:p>
      <w:pPr>
        <w:jc w:val="center"/>
      </w:pPr>
      <w:r>
        <w:drawing>
          <wp:inline xmlns:a="http://schemas.openxmlformats.org/drawingml/2006/main" xmlns:pic="http://schemas.openxmlformats.org/drawingml/2006/picture">
            <wp:extent cx="6400800" cy="3733800"/>
            <wp:docPr id="2" name="Picture 2"/>
            <wp:cNvGraphicFramePr>
              <a:graphicFrameLocks noChangeAspect="1"/>
            </wp:cNvGraphicFramePr>
            <a:graphic>
              <a:graphicData uri="http://schemas.openxmlformats.org/drawingml/2006/picture">
                <pic:pic>
                  <pic:nvPicPr>
                    <pic:cNvPr id="0" name="01_subjects_per_dataset.png"/>
                    <pic:cNvPicPr/>
                  </pic:nvPicPr>
                  <pic:blipFill>
                    <a:blip r:embed="rId10"/>
                    <a:stretch>
                      <a:fillRect/>
                    </a:stretch>
                  </pic:blipFill>
                  <pic:spPr>
                    <a:xfrm>
                      <a:off x="0" y="0"/>
                      <a:ext cx="6400800" cy="3733800"/>
                    </a:xfrm>
                    <a:prstGeom prst="rect"/>
                  </pic:spPr>
                </pic:pic>
              </a:graphicData>
            </a:graphic>
          </wp:inline>
        </w:drawing>
      </w:r>
    </w:p>
    <w:p>
      <w:pPr>
        <w:jc w:val="center"/>
      </w:pPr>
      <w:r>
        <w:rPr>
          <w:i/>
          <w:sz w:val="20"/>
        </w:rPr>
        <w:t>Figure 2. Number of subjects per dataset.</w:t>
      </w:r>
    </w:p>
    <w:p/>
    <w:p>
      <w:pPr>
        <w:pStyle w:val="Heading3"/>
      </w:pPr>
      <w:r>
        <w:t>1.3 Disease Category Distribution</w:t>
      </w:r>
    </w:p>
    <w:p>
      <w:r>
        <w:t>Disease labels from individual studies were harmonized into six categories: Severe (n=27), Mild (n=41), Moderate (n=9), Recovered (n=12), COVID Naive (n=8), and Healthy (n=6). The Mild category was the most represented, combining subjects labeled as "mild" (CD1) and "non-severe" (CD3). The Severe category included subjects with "severe" (CD1, CD3) and "Early phase hypoxaemia" (CD2) labels. The Moderate category comprised CD2 subjects with "Early phase-Stable" or "Early phase-Improving" labels.</w:t>
      </w:r>
    </w:p>
    <w:p>
      <w:pPr>
        <w:jc w:val="center"/>
      </w:pPr>
      <w:r>
        <w:drawing>
          <wp:inline xmlns:a="http://schemas.openxmlformats.org/drawingml/2006/main" xmlns:pic="http://schemas.openxmlformats.org/drawingml/2006/picture">
            <wp:extent cx="6400800" cy="4073236"/>
            <wp:docPr id="3" name="Picture 3"/>
            <wp:cNvGraphicFramePr>
              <a:graphicFrameLocks noChangeAspect="1"/>
            </wp:cNvGraphicFramePr>
            <a:graphic>
              <a:graphicData uri="http://schemas.openxmlformats.org/drawingml/2006/picture">
                <pic:pic>
                  <pic:nvPicPr>
                    <pic:cNvPr id="0" name="02a_subjects_per_disease_category.png"/>
                    <pic:cNvPicPr/>
                  </pic:nvPicPr>
                  <pic:blipFill>
                    <a:blip r:embed="rId11"/>
                    <a:stretch>
                      <a:fillRect/>
                    </a:stretch>
                  </pic:blipFill>
                  <pic:spPr>
                    <a:xfrm>
                      <a:off x="0" y="0"/>
                      <a:ext cx="6400800" cy="4073236"/>
                    </a:xfrm>
                    <a:prstGeom prst="rect"/>
                  </pic:spPr>
                </pic:pic>
              </a:graphicData>
            </a:graphic>
          </wp:inline>
        </w:drawing>
      </w:r>
    </w:p>
    <w:p>
      <w:pPr>
        <w:jc w:val="center"/>
      </w:pPr>
      <w:r>
        <w:rPr>
          <w:i/>
          <w:sz w:val="20"/>
        </w:rPr>
        <w:t>Figure 3. Number of subjects per harmonized disease category.</w:t>
      </w:r>
    </w:p>
    <w:p/>
    <w:p>
      <w:pPr>
        <w:pStyle w:val="Heading3"/>
      </w:pPr>
      <w:r>
        <w:t>1.4 Sex Distribution</w:t>
      </w:r>
    </w:p>
    <w:p>
      <w:r>
        <w:t>Among subjects with available sex metadata (n=86), 52 were male and 34 were female. Fourteen subjects (CD3 and HC1 studies) lacked sex annotation.</w:t>
      </w:r>
    </w:p>
    <w:p>
      <w:pPr>
        <w:jc w:val="center"/>
      </w:pPr>
      <w:r>
        <w:drawing>
          <wp:inline xmlns:a="http://schemas.openxmlformats.org/drawingml/2006/main" xmlns:pic="http://schemas.openxmlformats.org/drawingml/2006/picture">
            <wp:extent cx="6400800" cy="5600700"/>
            <wp:docPr id="4" name="Picture 4"/>
            <wp:cNvGraphicFramePr>
              <a:graphicFrameLocks noChangeAspect="1"/>
            </wp:cNvGraphicFramePr>
            <a:graphic>
              <a:graphicData uri="http://schemas.openxmlformats.org/drawingml/2006/picture">
                <pic:pic>
                  <pic:nvPicPr>
                    <pic:cNvPr id="0" name="02b_subjects_per_sex.png"/>
                    <pic:cNvPicPr/>
                  </pic:nvPicPr>
                  <pic:blipFill>
                    <a:blip r:embed="rId12"/>
                    <a:stretch>
                      <a:fillRect/>
                    </a:stretch>
                  </pic:blipFill>
                  <pic:spPr>
                    <a:xfrm>
                      <a:off x="0" y="0"/>
                      <a:ext cx="6400800" cy="5600700"/>
                    </a:xfrm>
                    <a:prstGeom prst="rect"/>
                  </pic:spPr>
                </pic:pic>
              </a:graphicData>
            </a:graphic>
          </wp:inline>
        </w:drawing>
      </w:r>
    </w:p>
    <w:p>
      <w:pPr>
        <w:jc w:val="center"/>
      </w:pPr>
      <w:r>
        <w:rPr>
          <w:i/>
          <w:sz w:val="20"/>
        </w:rPr>
        <w:t>Figure 4. Sex distribution across the cohort.</w:t>
      </w:r>
    </w:p>
    <w:p/>
    <w:p>
      <w:pPr>
        <w:pStyle w:val="Heading3"/>
      </w:pPr>
      <w:r>
        <w:t>1.5 Age Distribution</w:t>
      </w:r>
    </w:p>
    <w:p>
      <w:r>
        <w:t>Age data was available for 86 subjects (median 48 years, range 18-87). The age distribution was roughly uniform across the 31-50 and 51-65 groups, with fewer subjects in the youngest (18-30) and oldest (66+) brackets.</w:t>
      </w:r>
    </w:p>
    <w:p>
      <w:pPr>
        <w:jc w:val="center"/>
      </w:pPr>
      <w:r>
        <w:drawing>
          <wp:inline xmlns:a="http://schemas.openxmlformats.org/drawingml/2006/main" xmlns:pic="http://schemas.openxmlformats.org/drawingml/2006/picture">
            <wp:extent cx="6400800" cy="4480560"/>
            <wp:docPr id="5" name="Picture 5"/>
            <wp:cNvGraphicFramePr>
              <a:graphicFrameLocks noChangeAspect="1"/>
            </wp:cNvGraphicFramePr>
            <a:graphic>
              <a:graphicData uri="http://schemas.openxmlformats.org/drawingml/2006/picture">
                <pic:pic>
                  <pic:nvPicPr>
                    <pic:cNvPr id="0" name="02c_age_distribution.png"/>
                    <pic:cNvPicPr/>
                  </pic:nvPicPr>
                  <pic:blipFill>
                    <a:blip r:embed="rId13"/>
                    <a:stretch>
                      <a:fillRect/>
                    </a:stretch>
                  </pic:blipFill>
                  <pic:spPr>
                    <a:xfrm>
                      <a:off x="0" y="0"/>
                      <a:ext cx="6400800" cy="4480560"/>
                    </a:xfrm>
                    <a:prstGeom prst="rect"/>
                  </pic:spPr>
                </pic:pic>
              </a:graphicData>
            </a:graphic>
          </wp:inline>
        </w:drawing>
      </w:r>
    </w:p>
    <w:p>
      <w:pPr>
        <w:jc w:val="center"/>
      </w:pPr>
      <w:r>
        <w:rPr>
          <w:i/>
          <w:sz w:val="20"/>
        </w:rPr>
        <w:t>Figure 5. Age distribution histogram. Red dashed line indicates the median age.</w:t>
      </w:r>
    </w:p>
    <w:p/>
    <w:p>
      <w:pPr>
        <w:jc w:val="center"/>
      </w:pPr>
      <w:r>
        <w:drawing>
          <wp:inline xmlns:a="http://schemas.openxmlformats.org/drawingml/2006/main" xmlns:pic="http://schemas.openxmlformats.org/drawingml/2006/picture">
            <wp:extent cx="6400800" cy="5600700"/>
            <wp:docPr id="6" name="Picture 6"/>
            <wp:cNvGraphicFramePr>
              <a:graphicFrameLocks noChangeAspect="1"/>
            </wp:cNvGraphicFramePr>
            <a:graphic>
              <a:graphicData uri="http://schemas.openxmlformats.org/drawingml/2006/picture">
                <pic:pic>
                  <pic:nvPicPr>
                    <pic:cNvPr id="0" name="02d_subjects_per_age_group.png"/>
                    <pic:cNvPicPr/>
                  </pic:nvPicPr>
                  <pic:blipFill>
                    <a:blip r:embed="rId14"/>
                    <a:stretch>
                      <a:fillRect/>
                    </a:stretch>
                  </pic:blipFill>
                  <pic:spPr>
                    <a:xfrm>
                      <a:off x="0" y="0"/>
                      <a:ext cx="6400800" cy="5600700"/>
                    </a:xfrm>
                    <a:prstGeom prst="rect"/>
                  </pic:spPr>
                </pic:pic>
              </a:graphicData>
            </a:graphic>
          </wp:inline>
        </w:drawing>
      </w:r>
    </w:p>
    <w:p>
      <w:pPr>
        <w:jc w:val="center"/>
      </w:pPr>
      <w:r>
        <w:rPr>
          <w:i/>
          <w:sz w:val="20"/>
        </w:rPr>
        <w:t>Figure 6. Number of subjects per age group.</w:t>
      </w:r>
    </w:p>
    <w:p/>
    <w:p>
      <w:pPr>
        <w:pStyle w:val="Heading3"/>
      </w:pPr>
      <w:r>
        <w:t>1.6 Cross-tabulations</w:t>
      </w:r>
    </w:p>
    <w:p>
      <w:r>
        <w:t>Figures 7-10 show the relationships between disease category, sex, age, and study. The sex ratio was relatively balanced within each disease category. Age distributions varied across disease groups, with Moderate and Recovered subjects tending to be older.</w:t>
      </w:r>
    </w:p>
    <w:p>
      <w:pPr>
        <w:jc w:val="center"/>
      </w:pPr>
      <w:r>
        <w:drawing>
          <wp:inline xmlns:a="http://schemas.openxmlformats.org/drawingml/2006/main" xmlns:pic="http://schemas.openxmlformats.org/drawingml/2006/picture">
            <wp:extent cx="6400800" cy="3733800"/>
            <wp:docPr id="7" name="Picture 7"/>
            <wp:cNvGraphicFramePr>
              <a:graphicFrameLocks noChangeAspect="1"/>
            </wp:cNvGraphicFramePr>
            <a:graphic>
              <a:graphicData uri="http://schemas.openxmlformats.org/drawingml/2006/picture">
                <pic:pic>
                  <pic:nvPicPr>
                    <pic:cNvPr id="0" name="03a_disease_by_sex.png"/>
                    <pic:cNvPicPr/>
                  </pic:nvPicPr>
                  <pic:blipFill>
                    <a:blip r:embed="rId15"/>
                    <a:stretch>
                      <a:fillRect/>
                    </a:stretch>
                  </pic:blipFill>
                  <pic:spPr>
                    <a:xfrm>
                      <a:off x="0" y="0"/>
                      <a:ext cx="6400800" cy="3733800"/>
                    </a:xfrm>
                    <a:prstGeom prst="rect"/>
                  </pic:spPr>
                </pic:pic>
              </a:graphicData>
            </a:graphic>
          </wp:inline>
        </w:drawing>
      </w:r>
    </w:p>
    <w:p>
      <w:pPr>
        <w:jc w:val="center"/>
      </w:pPr>
      <w:r>
        <w:rPr>
          <w:i/>
          <w:sz w:val="20"/>
        </w:rPr>
        <w:t>Figure 7. Disease category by sex.</w:t>
      </w:r>
    </w:p>
    <w:p/>
    <w:p>
      <w:pPr>
        <w:jc w:val="center"/>
      </w:pPr>
      <w:r>
        <w:drawing>
          <wp:inline xmlns:a="http://schemas.openxmlformats.org/drawingml/2006/main" xmlns:pic="http://schemas.openxmlformats.org/drawingml/2006/picture">
            <wp:extent cx="6400800" cy="3446585"/>
            <wp:docPr id="8" name="Picture 8"/>
            <wp:cNvGraphicFramePr>
              <a:graphicFrameLocks noChangeAspect="1"/>
            </wp:cNvGraphicFramePr>
            <a:graphic>
              <a:graphicData uri="http://schemas.openxmlformats.org/drawingml/2006/picture">
                <pic:pic>
                  <pic:nvPicPr>
                    <pic:cNvPr id="0" name="03b_disease_by_age_group.png"/>
                    <pic:cNvPicPr/>
                  </pic:nvPicPr>
                  <pic:blipFill>
                    <a:blip r:embed="rId16"/>
                    <a:stretch>
                      <a:fillRect/>
                    </a:stretch>
                  </pic:blipFill>
                  <pic:spPr>
                    <a:xfrm>
                      <a:off x="0" y="0"/>
                      <a:ext cx="6400800" cy="3446585"/>
                    </a:xfrm>
                    <a:prstGeom prst="rect"/>
                  </pic:spPr>
                </pic:pic>
              </a:graphicData>
            </a:graphic>
          </wp:inline>
        </w:drawing>
      </w:r>
    </w:p>
    <w:p>
      <w:pPr>
        <w:jc w:val="center"/>
      </w:pPr>
      <w:r>
        <w:rPr>
          <w:i/>
          <w:sz w:val="20"/>
        </w:rPr>
        <w:t>Figure 8. Disease category by age group.</w:t>
      </w:r>
    </w:p>
    <w:p/>
    <w:p>
      <w:pPr>
        <w:jc w:val="center"/>
      </w:pPr>
      <w:r>
        <w:drawing>
          <wp:inline xmlns:a="http://schemas.openxmlformats.org/drawingml/2006/main" xmlns:pic="http://schemas.openxmlformats.org/drawingml/2006/picture">
            <wp:extent cx="6400800" cy="3733800"/>
            <wp:docPr id="9" name="Picture 9"/>
            <wp:cNvGraphicFramePr>
              <a:graphicFrameLocks noChangeAspect="1"/>
            </wp:cNvGraphicFramePr>
            <a:graphic>
              <a:graphicData uri="http://schemas.openxmlformats.org/drawingml/2006/picture">
                <pic:pic>
                  <pic:nvPicPr>
                    <pic:cNvPr id="0" name="03c_study_by_disease.png"/>
                    <pic:cNvPicPr/>
                  </pic:nvPicPr>
                  <pic:blipFill>
                    <a:blip r:embed="rId17"/>
                    <a:stretch>
                      <a:fillRect/>
                    </a:stretch>
                  </pic:blipFill>
                  <pic:spPr>
                    <a:xfrm>
                      <a:off x="0" y="0"/>
                      <a:ext cx="6400800" cy="3733800"/>
                    </a:xfrm>
                    <a:prstGeom prst="rect"/>
                  </pic:spPr>
                </pic:pic>
              </a:graphicData>
            </a:graphic>
          </wp:inline>
        </w:drawing>
      </w:r>
    </w:p>
    <w:p>
      <w:pPr>
        <w:jc w:val="center"/>
      </w:pPr>
      <w:r>
        <w:rPr>
          <w:i/>
          <w:sz w:val="20"/>
        </w:rPr>
        <w:t>Figure 9. Study composition by disease category.</w:t>
      </w:r>
    </w:p>
    <w:p/>
    <w:p>
      <w:pPr>
        <w:jc w:val="center"/>
      </w:pPr>
      <w:r>
        <w:drawing>
          <wp:inline xmlns:a="http://schemas.openxmlformats.org/drawingml/2006/main" xmlns:pic="http://schemas.openxmlformats.org/drawingml/2006/picture">
            <wp:extent cx="6400800" cy="3733800"/>
            <wp:docPr id="10" name="Picture 10"/>
            <wp:cNvGraphicFramePr>
              <a:graphicFrameLocks noChangeAspect="1"/>
            </wp:cNvGraphicFramePr>
            <a:graphic>
              <a:graphicData uri="http://schemas.openxmlformats.org/drawingml/2006/picture">
                <pic:pic>
                  <pic:nvPicPr>
                    <pic:cNvPr id="0" name="03d_age_by_disease_boxplot.png"/>
                    <pic:cNvPicPr/>
                  </pic:nvPicPr>
                  <pic:blipFill>
                    <a:blip r:embed="rId18"/>
                    <a:stretch>
                      <a:fillRect/>
                    </a:stretch>
                  </pic:blipFill>
                  <pic:spPr>
                    <a:xfrm>
                      <a:off x="0" y="0"/>
                      <a:ext cx="6400800" cy="3733800"/>
                    </a:xfrm>
                    <a:prstGeom prst="rect"/>
                  </pic:spPr>
                </pic:pic>
              </a:graphicData>
            </a:graphic>
          </wp:inline>
        </w:drawing>
      </w:r>
    </w:p>
    <w:p>
      <w:pPr>
        <w:jc w:val="center"/>
      </w:pPr>
      <w:r>
        <w:rPr>
          <w:i/>
          <w:sz w:val="20"/>
        </w:rPr>
        <w:t>Figure 10. Age distribution by disease category (box plots with individual data points).</w:t>
      </w:r>
    </w:p>
    <w:p/>
    <w:p>
      <w:pPr>
        <w:jc w:val="center"/>
      </w:pPr>
      <w:r>
        <w:drawing>
          <wp:inline xmlns:a="http://schemas.openxmlformats.org/drawingml/2006/main" xmlns:pic="http://schemas.openxmlformats.org/drawingml/2006/picture">
            <wp:extent cx="6400800" cy="3938954"/>
            <wp:docPr id="11" name="Picture 11"/>
            <wp:cNvGraphicFramePr>
              <a:graphicFrameLocks noChangeAspect="1"/>
            </wp:cNvGraphicFramePr>
            <a:graphic>
              <a:graphicData uri="http://schemas.openxmlformats.org/drawingml/2006/picture">
                <pic:pic>
                  <pic:nvPicPr>
                    <pic:cNvPr id="0" name="03e_heatmap_disease_age_sex.png"/>
                    <pic:cNvPicPr/>
                  </pic:nvPicPr>
                  <pic:blipFill>
                    <a:blip r:embed="rId19"/>
                    <a:stretch>
                      <a:fillRect/>
                    </a:stretch>
                  </pic:blipFill>
                  <pic:spPr>
                    <a:xfrm>
                      <a:off x="0" y="0"/>
                      <a:ext cx="6400800" cy="3938954"/>
                    </a:xfrm>
                    <a:prstGeom prst="rect"/>
                  </pic:spPr>
                </pic:pic>
              </a:graphicData>
            </a:graphic>
          </wp:inline>
        </w:drawing>
      </w:r>
    </w:p>
    <w:p>
      <w:pPr>
        <w:jc w:val="center"/>
      </w:pPr>
      <w:r>
        <w:rPr>
          <w:i/>
          <w:sz w:val="20"/>
        </w:rPr>
        <w:t>Figure 11. Heatmap of subject counts by disease category, age group, and sex.</w:t>
      </w:r>
    </w:p>
    <w:p/>
    <w:p>
      <w:r>
        <w:br w:type="page"/>
      </w:r>
    </w:p>
    <w:p>
      <w:pPr>
        <w:pStyle w:val="Heading2"/>
      </w:pPr>
      <w:r>
        <w:t>2. Clone Size Analysis</w:t>
      </w:r>
    </w:p>
    <w:p>
      <w:r>
        <w:t>Clone size, defined as the number of sequence copies per clone, reflects the degree of clonal expansion in each subject's repertoire. We analyzed both the number of expanded clones (clones with size &gt; 20) and the median clone size per subject.</w:t>
      </w:r>
    </w:p>
    <w:p>
      <w:pPr>
        <w:pStyle w:val="Heading3"/>
      </w:pPr>
      <w:r>
        <w:t>2.1 Number of Expanded Clones by Disease Category</w:t>
      </w:r>
    </w:p>
    <w:p>
      <w:r>
        <w:t>Figure 12 shows the number of expanded clones (size &gt; 20) across disease categories. COVID Naive and Healthy subjects showed higher counts of expanded clones compared to acute disease groups, suggesting pre-existing clonal expansions unrelated to SARS-CoV-2 infection.</w:t>
      </w:r>
    </w:p>
    <w:p>
      <w:pPr>
        <w:jc w:val="center"/>
      </w:pPr>
      <w:r>
        <w:drawing>
          <wp:inline xmlns:a="http://schemas.openxmlformats.org/drawingml/2006/main" xmlns:pic="http://schemas.openxmlformats.org/drawingml/2006/picture">
            <wp:extent cx="6400800" cy="3413760"/>
            <wp:docPr id="12" name="Picture 12"/>
            <wp:cNvGraphicFramePr>
              <a:graphicFrameLocks noChangeAspect="1"/>
            </wp:cNvGraphicFramePr>
            <a:graphic>
              <a:graphicData uri="http://schemas.openxmlformats.org/drawingml/2006/picture">
                <pic:pic>
                  <pic:nvPicPr>
                    <pic:cNvPr id="0" name="01_n_expanded_clones_by_disease.png"/>
                    <pic:cNvPicPr/>
                  </pic:nvPicPr>
                  <pic:blipFill>
                    <a:blip r:embed="rId20"/>
                    <a:stretch>
                      <a:fillRect/>
                    </a:stretch>
                  </pic:blipFill>
                  <pic:spPr>
                    <a:xfrm>
                      <a:off x="0" y="0"/>
                      <a:ext cx="6400800" cy="3413760"/>
                    </a:xfrm>
                    <a:prstGeom prst="rect"/>
                  </pic:spPr>
                </pic:pic>
              </a:graphicData>
            </a:graphic>
          </wp:inline>
        </w:drawing>
      </w:r>
    </w:p>
    <w:p>
      <w:pPr>
        <w:jc w:val="center"/>
      </w:pPr>
      <w:r>
        <w:rPr>
          <w:i/>
          <w:sz w:val="20"/>
        </w:rPr>
        <w:t>Figure 12. Number of expanded clones (size &gt; 20) by disease category. Box plots show median and IQR; red diamond indicates mean with SD error bars. Points are colored by original disease label.</w:t>
      </w:r>
    </w:p>
    <w:p/>
    <w:p>
      <w:pPr>
        <w:pStyle w:val="Heading3"/>
      </w:pPr>
      <w:r>
        <w:t>2.2 Median Clone Size by Disease Category</w:t>
      </w:r>
    </w:p>
    <w:p>
      <w:r>
        <w:t>Figure 13 presents the median clone size per subject across disease categories. The median clone size was relatively uniform across groups, with COVID Naive subjects showing slightly elevated values.</w:t>
      </w:r>
    </w:p>
    <w:p>
      <w:pPr>
        <w:jc w:val="center"/>
      </w:pPr>
      <w:r>
        <w:drawing>
          <wp:inline xmlns:a="http://schemas.openxmlformats.org/drawingml/2006/main" xmlns:pic="http://schemas.openxmlformats.org/drawingml/2006/picture">
            <wp:extent cx="6400800" cy="3413760"/>
            <wp:docPr id="13" name="Picture 13"/>
            <wp:cNvGraphicFramePr>
              <a:graphicFrameLocks noChangeAspect="1"/>
            </wp:cNvGraphicFramePr>
            <a:graphic>
              <a:graphicData uri="http://schemas.openxmlformats.org/drawingml/2006/picture">
                <pic:pic>
                  <pic:nvPicPr>
                    <pic:cNvPr id="0" name="02_median_clone_size_by_disease.png"/>
                    <pic:cNvPicPr/>
                  </pic:nvPicPr>
                  <pic:blipFill>
                    <a:blip r:embed="rId21"/>
                    <a:stretch>
                      <a:fillRect/>
                    </a:stretch>
                  </pic:blipFill>
                  <pic:spPr>
                    <a:xfrm>
                      <a:off x="0" y="0"/>
                      <a:ext cx="6400800" cy="3413760"/>
                    </a:xfrm>
                    <a:prstGeom prst="rect"/>
                  </pic:spPr>
                </pic:pic>
              </a:graphicData>
            </a:graphic>
          </wp:inline>
        </w:drawing>
      </w:r>
    </w:p>
    <w:p>
      <w:pPr>
        <w:jc w:val="center"/>
      </w:pPr>
      <w:r>
        <w:rPr>
          <w:i/>
          <w:sz w:val="20"/>
        </w:rPr>
        <w:t>Figure 13. Median clone size per subject by disease category.</w:t>
      </w:r>
    </w:p>
    <w:p/>
    <w:p>
      <w:pPr>
        <w:pStyle w:val="Heading3"/>
      </w:pPr>
      <w:r>
        <w:t>2.3 Clone Size by Age and Disease</w:t>
      </w:r>
    </w:p>
    <w:p>
      <w:r>
        <w:t>Figures 14 and 15 examine the number of expanded clones and median clone size stratified by age group within each disease category.</w:t>
      </w:r>
    </w:p>
    <w:p>
      <w:pPr>
        <w:jc w:val="center"/>
      </w:pPr>
      <w:r>
        <w:drawing>
          <wp:inline xmlns:a="http://schemas.openxmlformats.org/drawingml/2006/main" xmlns:pic="http://schemas.openxmlformats.org/drawingml/2006/picture">
            <wp:extent cx="6400800" cy="4572000"/>
            <wp:docPr id="14" name="Picture 14"/>
            <wp:cNvGraphicFramePr>
              <a:graphicFrameLocks noChangeAspect="1"/>
            </wp:cNvGraphicFramePr>
            <a:graphic>
              <a:graphicData uri="http://schemas.openxmlformats.org/drawingml/2006/picture">
                <pic:pic>
                  <pic:nvPicPr>
                    <pic:cNvPr id="0" name="03_clone_count_by_age_disease.png"/>
                    <pic:cNvPicPr/>
                  </pic:nvPicPr>
                  <pic:blipFill>
                    <a:blip r:embed="rId22"/>
                    <a:stretch>
                      <a:fillRect/>
                    </a:stretch>
                  </pic:blipFill>
                  <pic:spPr>
                    <a:xfrm>
                      <a:off x="0" y="0"/>
                      <a:ext cx="6400800" cy="4572000"/>
                    </a:xfrm>
                    <a:prstGeom prst="rect"/>
                  </pic:spPr>
                </pic:pic>
              </a:graphicData>
            </a:graphic>
          </wp:inline>
        </w:drawing>
      </w:r>
    </w:p>
    <w:p>
      <w:pPr>
        <w:jc w:val="center"/>
      </w:pPr>
      <w:r>
        <w:rPr>
          <w:i/>
          <w:sz w:val="20"/>
        </w:rPr>
        <w:t>Figure 14. Number of expanded clones by age group, faceted by disease category.</w:t>
      </w:r>
    </w:p>
    <w:p/>
    <w:p>
      <w:pPr>
        <w:jc w:val="center"/>
      </w:pPr>
      <w:r>
        <w:drawing>
          <wp:inline xmlns:a="http://schemas.openxmlformats.org/drawingml/2006/main" xmlns:pic="http://schemas.openxmlformats.org/drawingml/2006/picture">
            <wp:extent cx="6400800" cy="4572000"/>
            <wp:docPr id="15" name="Picture 15"/>
            <wp:cNvGraphicFramePr>
              <a:graphicFrameLocks noChangeAspect="1"/>
            </wp:cNvGraphicFramePr>
            <a:graphic>
              <a:graphicData uri="http://schemas.openxmlformats.org/drawingml/2006/picture">
                <pic:pic>
                  <pic:nvPicPr>
                    <pic:cNvPr id="0" name="05_clone_size_by_age_disease.png"/>
                    <pic:cNvPicPr/>
                  </pic:nvPicPr>
                  <pic:blipFill>
                    <a:blip r:embed="rId23"/>
                    <a:stretch>
                      <a:fillRect/>
                    </a:stretch>
                  </pic:blipFill>
                  <pic:spPr>
                    <a:xfrm>
                      <a:off x="0" y="0"/>
                      <a:ext cx="6400800" cy="4572000"/>
                    </a:xfrm>
                    <a:prstGeom prst="rect"/>
                  </pic:spPr>
                </pic:pic>
              </a:graphicData>
            </a:graphic>
          </wp:inline>
        </w:drawing>
      </w:r>
    </w:p>
    <w:p>
      <w:pPr>
        <w:jc w:val="center"/>
      </w:pPr>
      <w:r>
        <w:rPr>
          <w:i/>
          <w:sz w:val="20"/>
        </w:rPr>
        <w:t>Figure 15. Median clone size by age group, faceted by disease category.</w:t>
      </w:r>
    </w:p>
    <w:p/>
    <w:p>
      <w:pPr>
        <w:pStyle w:val="Heading3"/>
      </w:pPr>
      <w:r>
        <w:t>2.4 Clone Size by Sex and Disease</w:t>
      </w:r>
    </w:p>
    <w:p>
      <w:r>
        <w:t>Figures 16 and 17 examine sex-based differences in clonal expansion within each disease category.</w:t>
      </w:r>
    </w:p>
    <w:p>
      <w:pPr>
        <w:jc w:val="center"/>
      </w:pPr>
      <w:r>
        <w:drawing>
          <wp:inline xmlns:a="http://schemas.openxmlformats.org/drawingml/2006/main" xmlns:pic="http://schemas.openxmlformats.org/drawingml/2006/picture">
            <wp:extent cx="6400800" cy="4572000"/>
            <wp:docPr id="16" name="Picture 16"/>
            <wp:cNvGraphicFramePr>
              <a:graphicFrameLocks noChangeAspect="1"/>
            </wp:cNvGraphicFramePr>
            <a:graphic>
              <a:graphicData uri="http://schemas.openxmlformats.org/drawingml/2006/picture">
                <pic:pic>
                  <pic:nvPicPr>
                    <pic:cNvPr id="0" name="04_clone_count_by_sex_disease.png"/>
                    <pic:cNvPicPr/>
                  </pic:nvPicPr>
                  <pic:blipFill>
                    <a:blip r:embed="rId24"/>
                    <a:stretch>
                      <a:fillRect/>
                    </a:stretch>
                  </pic:blipFill>
                  <pic:spPr>
                    <a:xfrm>
                      <a:off x="0" y="0"/>
                      <a:ext cx="6400800" cy="4572000"/>
                    </a:xfrm>
                    <a:prstGeom prst="rect"/>
                  </pic:spPr>
                </pic:pic>
              </a:graphicData>
            </a:graphic>
          </wp:inline>
        </w:drawing>
      </w:r>
    </w:p>
    <w:p>
      <w:pPr>
        <w:jc w:val="center"/>
      </w:pPr>
      <w:r>
        <w:rPr>
          <w:i/>
          <w:sz w:val="20"/>
        </w:rPr>
        <w:t>Figure 16. Number of expanded clones by sex, faceted by disease category.</w:t>
      </w:r>
    </w:p>
    <w:p/>
    <w:p>
      <w:pPr>
        <w:jc w:val="center"/>
      </w:pPr>
      <w:r>
        <w:drawing>
          <wp:inline xmlns:a="http://schemas.openxmlformats.org/drawingml/2006/main" xmlns:pic="http://schemas.openxmlformats.org/drawingml/2006/picture">
            <wp:extent cx="6400800" cy="4572000"/>
            <wp:docPr id="17" name="Picture 17"/>
            <wp:cNvGraphicFramePr>
              <a:graphicFrameLocks noChangeAspect="1"/>
            </wp:cNvGraphicFramePr>
            <a:graphic>
              <a:graphicData uri="http://schemas.openxmlformats.org/drawingml/2006/picture">
                <pic:pic>
                  <pic:nvPicPr>
                    <pic:cNvPr id="0" name="06_clone_size_by_sex_disease.png"/>
                    <pic:cNvPicPr/>
                  </pic:nvPicPr>
                  <pic:blipFill>
                    <a:blip r:embed="rId25"/>
                    <a:stretch>
                      <a:fillRect/>
                    </a:stretch>
                  </pic:blipFill>
                  <pic:spPr>
                    <a:xfrm>
                      <a:off x="0" y="0"/>
                      <a:ext cx="6400800" cy="4572000"/>
                    </a:xfrm>
                    <a:prstGeom prst="rect"/>
                  </pic:spPr>
                </pic:pic>
              </a:graphicData>
            </a:graphic>
          </wp:inline>
        </w:drawing>
      </w:r>
    </w:p>
    <w:p>
      <w:pPr>
        <w:jc w:val="center"/>
      </w:pPr>
      <w:r>
        <w:rPr>
          <w:i/>
          <w:sz w:val="20"/>
        </w:rPr>
        <w:t>Figure 17. Median clone size by sex, faceted by disease category.</w:t>
      </w:r>
    </w:p>
    <w:p/>
    <w:p>
      <w:r>
        <w:br w:type="page"/>
      </w:r>
    </w:p>
    <w:p>
      <w:pPr>
        <w:pStyle w:val="Heading2"/>
      </w:pPr>
      <w:r>
        <w:t>3. Clonal Diversity (Clone Count)</w:t>
      </w:r>
    </w:p>
    <w:p>
      <w:r>
        <w:t>Clone count, representing the number of unique clones per subject, serves as a measure of clonal diversity. Higher clone counts indicate greater repertoire diversity.</w:t>
      </w:r>
    </w:p>
    <w:p>
      <w:pPr>
        <w:pStyle w:val="Heading3"/>
      </w:pPr>
      <w:r>
        <w:t>3.1 Clone Count by Disease Category</w:t>
      </w:r>
    </w:p>
    <w:p>
      <w:r>
        <w:t>Figure 18 shows the distribution of unique clone counts across disease categories. Recovered and COVID Naive subjects exhibited markedly higher clone counts (median 21,526 and 16,682, respectively) compared to Mild (2,478) and Severe (5,089) groups, suggesting repertoire expansion following infection or vaccination. The Healthy group showed high variability (range 650-61,136).</w:t>
      </w:r>
    </w:p>
    <w:p>
      <w:pPr>
        <w:jc w:val="center"/>
      </w:pPr>
      <w:r>
        <w:drawing>
          <wp:inline xmlns:a="http://schemas.openxmlformats.org/drawingml/2006/main" xmlns:pic="http://schemas.openxmlformats.org/drawingml/2006/picture">
            <wp:extent cx="6400800" cy="4267200"/>
            <wp:docPr id="18" name="Picture 18"/>
            <wp:cNvGraphicFramePr>
              <a:graphicFrameLocks noChangeAspect="1"/>
            </wp:cNvGraphicFramePr>
            <a:graphic>
              <a:graphicData uri="http://schemas.openxmlformats.org/drawingml/2006/picture">
                <pic:pic>
                  <pic:nvPicPr>
                    <pic:cNvPr id="0" name="07_clone_count_by_disease.png"/>
                    <pic:cNvPicPr/>
                  </pic:nvPicPr>
                  <pic:blipFill>
                    <a:blip r:embed="rId26"/>
                    <a:stretch>
                      <a:fillRect/>
                    </a:stretch>
                  </pic:blipFill>
                  <pic:spPr>
                    <a:xfrm>
                      <a:off x="0" y="0"/>
                      <a:ext cx="6400800" cy="4267200"/>
                    </a:xfrm>
                    <a:prstGeom prst="rect"/>
                  </pic:spPr>
                </pic:pic>
              </a:graphicData>
            </a:graphic>
          </wp:inline>
        </w:drawing>
      </w:r>
    </w:p>
    <w:p>
      <w:pPr>
        <w:jc w:val="center"/>
      </w:pPr>
      <w:r>
        <w:rPr>
          <w:i/>
          <w:sz w:val="20"/>
        </w:rPr>
        <w:t>Figure 18. Clone count (number of unique clones) by disease category. Box plots show median and IQR; red diamond indicates mean with SD error bars.</w:t>
      </w:r>
    </w:p>
    <w:p/>
    <w:p>
      <w:pPr>
        <w:jc w:val="center"/>
      </w:pPr>
      <w:r>
        <w:rPr>
          <w:b/>
          <w:sz w:val="20"/>
        </w:rPr>
        <w:t>Table 1. Clone count summary statistics by disease category.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Disease Category</w:t>
            </w:r>
          </w:p>
        </w:tc>
        <w:tc>
          <w:tcPr>
            <w:tcW w:type="dxa" w:w="1440"/>
          </w:tcPr>
          <w:p>
            <w:pPr>
              <w:jc w:val="center"/>
            </w:pPr>
            <w:r>
              <w:rPr>
                <w:b/>
                <w:sz w:val="18"/>
              </w:rPr>
              <w:t>n</w:t>
            </w:r>
          </w:p>
        </w:tc>
        <w:tc>
          <w:tcPr>
            <w:tcW w:type="dxa" w:w="1440"/>
          </w:tcPr>
          <w:p>
            <w:pPr>
              <w:jc w:val="center"/>
            </w:pPr>
            <w:r>
              <w:rPr>
                <w:b/>
                <w:sz w:val="18"/>
              </w:rPr>
              <w:t>Median</w:t>
            </w:r>
          </w:p>
        </w:tc>
        <w:tc>
          <w:tcPr>
            <w:tcW w:type="dxa" w:w="1440"/>
          </w:tcPr>
          <w:p>
            <w:pPr>
              <w:jc w:val="center"/>
            </w:pPr>
            <w:r>
              <w:rPr>
                <w:b/>
                <w:sz w:val="18"/>
              </w:rPr>
              <w:t>Mean</w:t>
            </w:r>
          </w:p>
        </w:tc>
        <w:tc>
          <w:tcPr>
            <w:tcW w:type="dxa" w:w="1440"/>
          </w:tcPr>
          <w:p>
            <w:pPr>
              <w:jc w:val="center"/>
            </w:pPr>
            <w:r>
              <w:rPr>
                <w:b/>
                <w:sz w:val="18"/>
              </w:rPr>
              <w:t>Min</w:t>
            </w:r>
          </w:p>
        </w:tc>
        <w:tc>
          <w:tcPr>
            <w:tcW w:type="dxa" w:w="1440"/>
          </w:tcPr>
          <w:p>
            <w:pPr>
              <w:jc w:val="center"/>
            </w:pPr>
            <w:r>
              <w:rPr>
                <w:b/>
                <w:sz w:val="18"/>
              </w:rPr>
              <w:t>Max</w:t>
            </w:r>
          </w:p>
        </w:tc>
      </w:tr>
      <w:tr>
        <w:tc>
          <w:tcPr>
            <w:tcW w:type="dxa" w:w="1440"/>
          </w:tcPr>
          <w:p>
            <w:pPr>
              <w:jc w:val="center"/>
            </w:pPr>
            <w:r>
              <w:rPr>
                <w:sz w:val="18"/>
              </w:rPr>
              <w:t>Severe</w:t>
            </w:r>
          </w:p>
        </w:tc>
        <w:tc>
          <w:tcPr>
            <w:tcW w:type="dxa" w:w="1440"/>
          </w:tcPr>
          <w:p>
            <w:pPr>
              <w:jc w:val="center"/>
            </w:pPr>
            <w:r>
              <w:rPr>
                <w:sz w:val="18"/>
              </w:rPr>
              <w:t>27</w:t>
            </w:r>
          </w:p>
        </w:tc>
        <w:tc>
          <w:tcPr>
            <w:tcW w:type="dxa" w:w="1440"/>
          </w:tcPr>
          <w:p>
            <w:pPr>
              <w:jc w:val="center"/>
            </w:pPr>
            <w:r>
              <w:rPr>
                <w:sz w:val="18"/>
              </w:rPr>
              <w:t>5,089</w:t>
            </w:r>
          </w:p>
        </w:tc>
        <w:tc>
          <w:tcPr>
            <w:tcW w:type="dxa" w:w="1440"/>
          </w:tcPr>
          <w:p>
            <w:pPr>
              <w:jc w:val="center"/>
            </w:pPr>
            <w:r>
              <w:rPr>
                <w:sz w:val="18"/>
              </w:rPr>
              <w:t>9,529</w:t>
            </w:r>
          </w:p>
        </w:tc>
        <w:tc>
          <w:tcPr>
            <w:tcW w:type="dxa" w:w="1440"/>
          </w:tcPr>
          <w:p>
            <w:pPr>
              <w:jc w:val="center"/>
            </w:pPr>
            <w:r>
              <w:rPr>
                <w:sz w:val="18"/>
              </w:rPr>
              <w:t>1,319</w:t>
            </w:r>
          </w:p>
        </w:tc>
        <w:tc>
          <w:tcPr>
            <w:tcW w:type="dxa" w:w="1440"/>
          </w:tcPr>
          <w:p>
            <w:pPr>
              <w:jc w:val="center"/>
            </w:pPr>
            <w:r>
              <w:rPr>
                <w:sz w:val="18"/>
              </w:rPr>
              <w:t>35,137</w:t>
            </w:r>
          </w:p>
        </w:tc>
      </w:tr>
      <w:tr>
        <w:tc>
          <w:tcPr>
            <w:tcW w:type="dxa" w:w="1440"/>
          </w:tcPr>
          <w:p>
            <w:pPr>
              <w:jc w:val="center"/>
            </w:pPr>
            <w:r>
              <w:rPr>
                <w:sz w:val="18"/>
              </w:rPr>
              <w:t>Mild</w:t>
            </w:r>
          </w:p>
        </w:tc>
        <w:tc>
          <w:tcPr>
            <w:tcW w:type="dxa" w:w="1440"/>
          </w:tcPr>
          <w:p>
            <w:pPr>
              <w:jc w:val="center"/>
            </w:pPr>
            <w:r>
              <w:rPr>
                <w:sz w:val="18"/>
              </w:rPr>
              <w:t>41</w:t>
            </w:r>
          </w:p>
        </w:tc>
        <w:tc>
          <w:tcPr>
            <w:tcW w:type="dxa" w:w="1440"/>
          </w:tcPr>
          <w:p>
            <w:pPr>
              <w:jc w:val="center"/>
            </w:pPr>
            <w:r>
              <w:rPr>
                <w:sz w:val="18"/>
              </w:rPr>
              <w:t>2,478</w:t>
            </w:r>
          </w:p>
        </w:tc>
        <w:tc>
          <w:tcPr>
            <w:tcW w:type="dxa" w:w="1440"/>
          </w:tcPr>
          <w:p>
            <w:pPr>
              <w:jc w:val="center"/>
            </w:pPr>
            <w:r>
              <w:rPr>
                <w:sz w:val="18"/>
              </w:rPr>
              <w:t>3,127</w:t>
            </w:r>
          </w:p>
        </w:tc>
        <w:tc>
          <w:tcPr>
            <w:tcW w:type="dxa" w:w="1440"/>
          </w:tcPr>
          <w:p>
            <w:pPr>
              <w:jc w:val="center"/>
            </w:pPr>
            <w:r>
              <w:rPr>
                <w:sz w:val="18"/>
              </w:rPr>
              <w:t>95</w:t>
            </w:r>
          </w:p>
        </w:tc>
        <w:tc>
          <w:tcPr>
            <w:tcW w:type="dxa" w:w="1440"/>
          </w:tcPr>
          <w:p>
            <w:pPr>
              <w:jc w:val="center"/>
            </w:pPr>
            <w:r>
              <w:rPr>
                <w:sz w:val="18"/>
              </w:rPr>
              <w:t>22,565</w:t>
            </w:r>
          </w:p>
        </w:tc>
      </w:tr>
      <w:tr>
        <w:tc>
          <w:tcPr>
            <w:tcW w:type="dxa" w:w="1440"/>
          </w:tcPr>
          <w:p>
            <w:pPr>
              <w:jc w:val="center"/>
            </w:pPr>
            <w:r>
              <w:rPr>
                <w:sz w:val="18"/>
              </w:rPr>
              <w:t>Moderate</w:t>
            </w:r>
          </w:p>
        </w:tc>
        <w:tc>
          <w:tcPr>
            <w:tcW w:type="dxa" w:w="1440"/>
          </w:tcPr>
          <w:p>
            <w:pPr>
              <w:jc w:val="center"/>
            </w:pPr>
            <w:r>
              <w:rPr>
                <w:sz w:val="18"/>
              </w:rPr>
              <w:t>9</w:t>
            </w:r>
          </w:p>
        </w:tc>
        <w:tc>
          <w:tcPr>
            <w:tcW w:type="dxa" w:w="1440"/>
          </w:tcPr>
          <w:p>
            <w:pPr>
              <w:jc w:val="center"/>
            </w:pPr>
            <w:r>
              <w:rPr>
                <w:sz w:val="18"/>
              </w:rPr>
              <w:t>5,085</w:t>
            </w:r>
          </w:p>
        </w:tc>
        <w:tc>
          <w:tcPr>
            <w:tcW w:type="dxa" w:w="1440"/>
          </w:tcPr>
          <w:p>
            <w:pPr>
              <w:jc w:val="center"/>
            </w:pPr>
            <w:r>
              <w:rPr>
                <w:sz w:val="18"/>
              </w:rPr>
              <w:t>9,327</w:t>
            </w:r>
          </w:p>
        </w:tc>
        <w:tc>
          <w:tcPr>
            <w:tcW w:type="dxa" w:w="1440"/>
          </w:tcPr>
          <w:p>
            <w:pPr>
              <w:jc w:val="center"/>
            </w:pPr>
            <w:r>
              <w:rPr>
                <w:sz w:val="18"/>
              </w:rPr>
              <w:t>3,459</w:t>
            </w:r>
          </w:p>
        </w:tc>
        <w:tc>
          <w:tcPr>
            <w:tcW w:type="dxa" w:w="1440"/>
          </w:tcPr>
          <w:p>
            <w:pPr>
              <w:jc w:val="center"/>
            </w:pPr>
            <w:r>
              <w:rPr>
                <w:sz w:val="18"/>
              </w:rPr>
              <w:t>22,480</w:t>
            </w:r>
          </w:p>
        </w:tc>
      </w:tr>
      <w:tr>
        <w:tc>
          <w:tcPr>
            <w:tcW w:type="dxa" w:w="1440"/>
          </w:tcPr>
          <w:p>
            <w:pPr>
              <w:jc w:val="center"/>
            </w:pPr>
            <w:r>
              <w:rPr>
                <w:sz w:val="18"/>
              </w:rPr>
              <w:t>Recovered</w:t>
            </w:r>
          </w:p>
        </w:tc>
        <w:tc>
          <w:tcPr>
            <w:tcW w:type="dxa" w:w="1440"/>
          </w:tcPr>
          <w:p>
            <w:pPr>
              <w:jc w:val="center"/>
            </w:pPr>
            <w:r>
              <w:rPr>
                <w:sz w:val="18"/>
              </w:rPr>
              <w:t>12</w:t>
            </w:r>
          </w:p>
        </w:tc>
        <w:tc>
          <w:tcPr>
            <w:tcW w:type="dxa" w:w="1440"/>
          </w:tcPr>
          <w:p>
            <w:pPr>
              <w:jc w:val="center"/>
            </w:pPr>
            <w:r>
              <w:rPr>
                <w:sz w:val="18"/>
              </w:rPr>
              <w:t>21,526</w:t>
            </w:r>
          </w:p>
        </w:tc>
        <w:tc>
          <w:tcPr>
            <w:tcW w:type="dxa" w:w="1440"/>
          </w:tcPr>
          <w:p>
            <w:pPr>
              <w:jc w:val="center"/>
            </w:pPr>
            <w:r>
              <w:rPr>
                <w:sz w:val="18"/>
              </w:rPr>
              <w:t>19,661</w:t>
            </w:r>
          </w:p>
        </w:tc>
        <w:tc>
          <w:tcPr>
            <w:tcW w:type="dxa" w:w="1440"/>
          </w:tcPr>
          <w:p>
            <w:pPr>
              <w:jc w:val="center"/>
            </w:pPr>
            <w:r>
              <w:rPr>
                <w:sz w:val="18"/>
              </w:rPr>
              <w:t>5,713</w:t>
            </w:r>
          </w:p>
        </w:tc>
        <w:tc>
          <w:tcPr>
            <w:tcW w:type="dxa" w:w="1440"/>
          </w:tcPr>
          <w:p>
            <w:pPr>
              <w:jc w:val="center"/>
            </w:pPr>
            <w:r>
              <w:rPr>
                <w:sz w:val="18"/>
              </w:rPr>
              <w:t>33,699</w:t>
            </w:r>
          </w:p>
        </w:tc>
      </w:tr>
      <w:tr>
        <w:tc>
          <w:tcPr>
            <w:tcW w:type="dxa" w:w="1440"/>
          </w:tcPr>
          <w:p>
            <w:pPr>
              <w:jc w:val="center"/>
            </w:pPr>
            <w:r>
              <w:rPr>
                <w:sz w:val="18"/>
              </w:rPr>
              <w:t>COVID Naive</w:t>
            </w:r>
          </w:p>
        </w:tc>
        <w:tc>
          <w:tcPr>
            <w:tcW w:type="dxa" w:w="1440"/>
          </w:tcPr>
          <w:p>
            <w:pPr>
              <w:jc w:val="center"/>
            </w:pPr>
            <w:r>
              <w:rPr>
                <w:sz w:val="18"/>
              </w:rPr>
              <w:t>8</w:t>
            </w:r>
          </w:p>
        </w:tc>
        <w:tc>
          <w:tcPr>
            <w:tcW w:type="dxa" w:w="1440"/>
          </w:tcPr>
          <w:p>
            <w:pPr>
              <w:jc w:val="center"/>
            </w:pPr>
            <w:r>
              <w:rPr>
                <w:sz w:val="18"/>
              </w:rPr>
              <w:t>16,682</w:t>
            </w:r>
          </w:p>
        </w:tc>
        <w:tc>
          <w:tcPr>
            <w:tcW w:type="dxa" w:w="1440"/>
          </w:tcPr>
          <w:p>
            <w:pPr>
              <w:jc w:val="center"/>
            </w:pPr>
            <w:r>
              <w:rPr>
                <w:sz w:val="18"/>
              </w:rPr>
              <w:t>18,086</w:t>
            </w:r>
          </w:p>
        </w:tc>
        <w:tc>
          <w:tcPr>
            <w:tcW w:type="dxa" w:w="1440"/>
          </w:tcPr>
          <w:p>
            <w:pPr>
              <w:jc w:val="center"/>
            </w:pPr>
            <w:r>
              <w:rPr>
                <w:sz w:val="18"/>
              </w:rPr>
              <w:t>8,156</w:t>
            </w:r>
          </w:p>
        </w:tc>
        <w:tc>
          <w:tcPr>
            <w:tcW w:type="dxa" w:w="1440"/>
          </w:tcPr>
          <w:p>
            <w:pPr>
              <w:jc w:val="center"/>
            </w:pPr>
            <w:r>
              <w:rPr>
                <w:sz w:val="18"/>
              </w:rPr>
              <w:t>29,178</w:t>
            </w:r>
          </w:p>
        </w:tc>
      </w:tr>
      <w:tr>
        <w:tc>
          <w:tcPr>
            <w:tcW w:type="dxa" w:w="1440"/>
          </w:tcPr>
          <w:p>
            <w:pPr>
              <w:jc w:val="center"/>
            </w:pPr>
            <w:r>
              <w:rPr>
                <w:sz w:val="18"/>
              </w:rPr>
              <w:t>Healthy</w:t>
            </w:r>
          </w:p>
        </w:tc>
        <w:tc>
          <w:tcPr>
            <w:tcW w:type="dxa" w:w="1440"/>
          </w:tcPr>
          <w:p>
            <w:pPr>
              <w:jc w:val="center"/>
            </w:pPr>
            <w:r>
              <w:rPr>
                <w:sz w:val="18"/>
              </w:rPr>
              <w:t>6</w:t>
            </w:r>
          </w:p>
        </w:tc>
        <w:tc>
          <w:tcPr>
            <w:tcW w:type="dxa" w:w="1440"/>
          </w:tcPr>
          <w:p>
            <w:pPr>
              <w:jc w:val="center"/>
            </w:pPr>
            <w:r>
              <w:rPr>
                <w:sz w:val="18"/>
              </w:rPr>
              <w:t>1,707</w:t>
            </w:r>
          </w:p>
        </w:tc>
        <w:tc>
          <w:tcPr>
            <w:tcW w:type="dxa" w:w="1440"/>
          </w:tcPr>
          <w:p>
            <w:pPr>
              <w:jc w:val="center"/>
            </w:pPr>
            <w:r>
              <w:rPr>
                <w:sz w:val="18"/>
              </w:rPr>
              <w:t>14,443</w:t>
            </w:r>
          </w:p>
        </w:tc>
        <w:tc>
          <w:tcPr>
            <w:tcW w:type="dxa" w:w="1440"/>
          </w:tcPr>
          <w:p>
            <w:pPr>
              <w:jc w:val="center"/>
            </w:pPr>
            <w:r>
              <w:rPr>
                <w:sz w:val="18"/>
              </w:rPr>
              <w:t>650</w:t>
            </w:r>
          </w:p>
        </w:tc>
        <w:tc>
          <w:tcPr>
            <w:tcW w:type="dxa" w:w="1440"/>
          </w:tcPr>
          <w:p>
            <w:pPr>
              <w:jc w:val="center"/>
            </w:pPr>
            <w:r>
              <w:rPr>
                <w:sz w:val="18"/>
              </w:rPr>
              <w:t>61,136</w:t>
            </w:r>
          </w:p>
        </w:tc>
      </w:tr>
    </w:tbl>
    <w:p/>
    <w:p>
      <w:pPr>
        <w:pStyle w:val="Heading3"/>
      </w:pPr>
      <w:r>
        <w:t>3.2 Clone Count by Age Group and Disease</w:t>
      </w:r>
    </w:p>
    <w:p>
      <w:r>
        <w:t>Figure 19 displays clone count distributions stratified by age group within each disease category.</w:t>
      </w:r>
    </w:p>
    <w:p>
      <w:pPr>
        <w:jc w:val="center"/>
      </w:pPr>
      <w:r>
        <w:drawing>
          <wp:inline xmlns:a="http://schemas.openxmlformats.org/drawingml/2006/main" xmlns:pic="http://schemas.openxmlformats.org/drawingml/2006/picture">
            <wp:extent cx="6400800" cy="4572000"/>
            <wp:docPr id="19" name="Picture 19"/>
            <wp:cNvGraphicFramePr>
              <a:graphicFrameLocks noChangeAspect="1"/>
            </wp:cNvGraphicFramePr>
            <a:graphic>
              <a:graphicData uri="http://schemas.openxmlformats.org/drawingml/2006/picture">
                <pic:pic>
                  <pic:nvPicPr>
                    <pic:cNvPr id="0" name="08_clone_count_by_age_disease.png"/>
                    <pic:cNvPicPr/>
                  </pic:nvPicPr>
                  <pic:blipFill>
                    <a:blip r:embed="rId27"/>
                    <a:stretch>
                      <a:fillRect/>
                    </a:stretch>
                  </pic:blipFill>
                  <pic:spPr>
                    <a:xfrm>
                      <a:off x="0" y="0"/>
                      <a:ext cx="6400800" cy="4572000"/>
                    </a:xfrm>
                    <a:prstGeom prst="rect"/>
                  </pic:spPr>
                </pic:pic>
              </a:graphicData>
            </a:graphic>
          </wp:inline>
        </w:drawing>
      </w:r>
    </w:p>
    <w:p>
      <w:pPr>
        <w:jc w:val="center"/>
      </w:pPr>
      <w:r>
        <w:rPr>
          <w:i/>
          <w:sz w:val="20"/>
        </w:rPr>
        <w:t>Figure 19. Clone count by age group, faceted by disease category.</w:t>
      </w:r>
    </w:p>
    <w:p/>
    <w:p>
      <w:pPr>
        <w:pStyle w:val="Heading3"/>
      </w:pPr>
      <w:r>
        <w:t>3.3 Clone Count by Sex and Disease</w:t>
      </w:r>
    </w:p>
    <w:p>
      <w:r>
        <w:t>Figure 20 shows clone count distributions by sex within each disease category. No substantial sex-based differences were observed across disease groups.</w:t>
      </w:r>
    </w:p>
    <w:p>
      <w:pPr>
        <w:jc w:val="center"/>
      </w:pPr>
      <w:r>
        <w:drawing>
          <wp:inline xmlns:a="http://schemas.openxmlformats.org/drawingml/2006/main" xmlns:pic="http://schemas.openxmlformats.org/drawingml/2006/picture">
            <wp:extent cx="6400800" cy="4572000"/>
            <wp:docPr id="20" name="Picture 20"/>
            <wp:cNvGraphicFramePr>
              <a:graphicFrameLocks noChangeAspect="1"/>
            </wp:cNvGraphicFramePr>
            <a:graphic>
              <a:graphicData uri="http://schemas.openxmlformats.org/drawingml/2006/picture">
                <pic:pic>
                  <pic:nvPicPr>
                    <pic:cNvPr id="0" name="09_clone_count_by_sex_disease.png"/>
                    <pic:cNvPicPr/>
                  </pic:nvPicPr>
                  <pic:blipFill>
                    <a:blip r:embed="rId28"/>
                    <a:stretch>
                      <a:fillRect/>
                    </a:stretch>
                  </pic:blipFill>
                  <pic:spPr>
                    <a:xfrm>
                      <a:off x="0" y="0"/>
                      <a:ext cx="6400800" cy="4572000"/>
                    </a:xfrm>
                    <a:prstGeom prst="rect"/>
                  </pic:spPr>
                </pic:pic>
              </a:graphicData>
            </a:graphic>
          </wp:inline>
        </w:drawing>
      </w:r>
    </w:p>
    <w:p>
      <w:pPr>
        <w:jc w:val="center"/>
      </w:pPr>
      <w:r>
        <w:rPr>
          <w:i/>
          <w:sz w:val="20"/>
        </w:rPr>
        <w:t>Figure 20. Clone count by sex, faceted by disease category.</w:t>
      </w:r>
    </w:p>
    <w:p/>
    <w:p>
      <w:pPr>
        <w:jc w:val="center"/>
      </w:pPr>
      <w:r>
        <w:rPr>
          <w:b/>
          <w:sz w:val="20"/>
        </w:rPr>
        <w:t>Table 2. Clone count by disease category and sex.</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Disease Category</w:t>
            </w:r>
          </w:p>
        </w:tc>
        <w:tc>
          <w:tcPr>
            <w:tcW w:type="dxa" w:w="2160"/>
          </w:tcPr>
          <w:p>
            <w:pPr>
              <w:jc w:val="center"/>
            </w:pPr>
            <w:r>
              <w:rPr>
                <w:b/>
                <w:sz w:val="18"/>
              </w:rPr>
              <w:t>Sex</w:t>
            </w:r>
          </w:p>
        </w:tc>
        <w:tc>
          <w:tcPr>
            <w:tcW w:type="dxa" w:w="2160"/>
          </w:tcPr>
          <w:p>
            <w:pPr>
              <w:jc w:val="center"/>
            </w:pPr>
            <w:r>
              <w:rPr>
                <w:b/>
                <w:sz w:val="18"/>
              </w:rPr>
              <w:t>n</w:t>
            </w:r>
          </w:p>
        </w:tc>
        <w:tc>
          <w:tcPr>
            <w:tcW w:type="dxa" w:w="2160"/>
          </w:tcPr>
          <w:p>
            <w:pPr>
              <w:jc w:val="center"/>
            </w:pPr>
            <w:r>
              <w:rPr>
                <w:b/>
                <w:sz w:val="18"/>
              </w:rPr>
              <w:t>Median Clone Count</w:t>
            </w:r>
          </w:p>
        </w:tc>
      </w:tr>
      <w:tr>
        <w:tc>
          <w:tcPr>
            <w:tcW w:type="dxa" w:w="2160"/>
          </w:tcPr>
          <w:p>
            <w:pPr>
              <w:jc w:val="center"/>
            </w:pPr>
            <w:r>
              <w:rPr>
                <w:sz w:val="18"/>
              </w:rPr>
              <w:t>Severe</w:t>
            </w:r>
          </w:p>
        </w:tc>
        <w:tc>
          <w:tcPr>
            <w:tcW w:type="dxa" w:w="2160"/>
          </w:tcPr>
          <w:p>
            <w:pPr>
              <w:jc w:val="center"/>
            </w:pPr>
            <w:r>
              <w:rPr>
                <w:sz w:val="18"/>
              </w:rPr>
              <w:t>Female</w:t>
            </w:r>
          </w:p>
        </w:tc>
        <w:tc>
          <w:tcPr>
            <w:tcW w:type="dxa" w:w="2160"/>
          </w:tcPr>
          <w:p>
            <w:pPr>
              <w:jc w:val="center"/>
            </w:pPr>
            <w:r>
              <w:rPr>
                <w:sz w:val="18"/>
              </w:rPr>
              <w:t>5</w:t>
            </w:r>
          </w:p>
        </w:tc>
        <w:tc>
          <w:tcPr>
            <w:tcW w:type="dxa" w:w="2160"/>
          </w:tcPr>
          <w:p>
            <w:pPr>
              <w:jc w:val="center"/>
            </w:pPr>
            <w:r>
              <w:rPr>
                <w:sz w:val="18"/>
              </w:rPr>
              <w:t>3,552</w:t>
            </w:r>
          </w:p>
        </w:tc>
      </w:tr>
      <w:tr>
        <w:tc>
          <w:tcPr>
            <w:tcW w:type="dxa" w:w="2160"/>
          </w:tcPr>
          <w:p>
            <w:pPr>
              <w:jc w:val="center"/>
            </w:pPr>
            <w:r>
              <w:rPr>
                <w:sz w:val="18"/>
              </w:rPr>
              <w:t>Severe</w:t>
            </w:r>
          </w:p>
        </w:tc>
        <w:tc>
          <w:tcPr>
            <w:tcW w:type="dxa" w:w="2160"/>
          </w:tcPr>
          <w:p>
            <w:pPr>
              <w:jc w:val="center"/>
            </w:pPr>
            <w:r>
              <w:rPr>
                <w:sz w:val="18"/>
              </w:rPr>
              <w:t>Male</w:t>
            </w:r>
          </w:p>
        </w:tc>
        <w:tc>
          <w:tcPr>
            <w:tcW w:type="dxa" w:w="2160"/>
          </w:tcPr>
          <w:p>
            <w:pPr>
              <w:jc w:val="center"/>
            </w:pPr>
            <w:r>
              <w:rPr>
                <w:sz w:val="18"/>
              </w:rPr>
              <w:t>14</w:t>
            </w:r>
          </w:p>
        </w:tc>
        <w:tc>
          <w:tcPr>
            <w:tcW w:type="dxa" w:w="2160"/>
          </w:tcPr>
          <w:p>
            <w:pPr>
              <w:jc w:val="center"/>
            </w:pPr>
            <w:r>
              <w:rPr>
                <w:sz w:val="18"/>
              </w:rPr>
              <w:t>3,567</w:t>
            </w:r>
          </w:p>
        </w:tc>
      </w:tr>
      <w:tr>
        <w:tc>
          <w:tcPr>
            <w:tcW w:type="dxa" w:w="2160"/>
          </w:tcPr>
          <w:p>
            <w:pPr>
              <w:jc w:val="center"/>
            </w:pPr>
            <w:r>
              <w:rPr>
                <w:sz w:val="18"/>
              </w:rPr>
              <w:t>Mild</w:t>
            </w:r>
          </w:p>
        </w:tc>
        <w:tc>
          <w:tcPr>
            <w:tcW w:type="dxa" w:w="2160"/>
          </w:tcPr>
          <w:p>
            <w:pPr>
              <w:jc w:val="center"/>
            </w:pPr>
            <w:r>
              <w:rPr>
                <w:sz w:val="18"/>
              </w:rPr>
              <w:t>Female</w:t>
            </w:r>
          </w:p>
        </w:tc>
        <w:tc>
          <w:tcPr>
            <w:tcW w:type="dxa" w:w="2160"/>
          </w:tcPr>
          <w:p>
            <w:pPr>
              <w:jc w:val="center"/>
            </w:pPr>
            <w:r>
              <w:rPr>
                <w:sz w:val="18"/>
              </w:rPr>
              <w:t>19</w:t>
            </w:r>
          </w:p>
        </w:tc>
        <w:tc>
          <w:tcPr>
            <w:tcW w:type="dxa" w:w="2160"/>
          </w:tcPr>
          <w:p>
            <w:pPr>
              <w:jc w:val="center"/>
            </w:pPr>
            <w:r>
              <w:rPr>
                <w:sz w:val="18"/>
              </w:rPr>
              <w:t>2,140</w:t>
            </w:r>
          </w:p>
        </w:tc>
      </w:tr>
      <w:tr>
        <w:tc>
          <w:tcPr>
            <w:tcW w:type="dxa" w:w="2160"/>
          </w:tcPr>
          <w:p>
            <w:pPr>
              <w:jc w:val="center"/>
            </w:pPr>
            <w:r>
              <w:rPr>
                <w:sz w:val="18"/>
              </w:rPr>
              <w:t>Mild</w:t>
            </w:r>
          </w:p>
        </w:tc>
        <w:tc>
          <w:tcPr>
            <w:tcW w:type="dxa" w:w="2160"/>
          </w:tcPr>
          <w:p>
            <w:pPr>
              <w:jc w:val="center"/>
            </w:pPr>
            <w:r>
              <w:rPr>
                <w:sz w:val="18"/>
              </w:rPr>
              <w:t>Male</w:t>
            </w:r>
          </w:p>
        </w:tc>
        <w:tc>
          <w:tcPr>
            <w:tcW w:type="dxa" w:w="2160"/>
          </w:tcPr>
          <w:p>
            <w:pPr>
              <w:jc w:val="center"/>
            </w:pPr>
            <w:r>
              <w:rPr>
                <w:sz w:val="18"/>
              </w:rPr>
              <w:t>19</w:t>
            </w:r>
          </w:p>
        </w:tc>
        <w:tc>
          <w:tcPr>
            <w:tcW w:type="dxa" w:w="2160"/>
          </w:tcPr>
          <w:p>
            <w:pPr>
              <w:jc w:val="center"/>
            </w:pPr>
            <w:r>
              <w:rPr>
                <w:sz w:val="18"/>
              </w:rPr>
              <w:t>2,478</w:t>
            </w:r>
          </w:p>
        </w:tc>
      </w:tr>
      <w:tr>
        <w:tc>
          <w:tcPr>
            <w:tcW w:type="dxa" w:w="2160"/>
          </w:tcPr>
          <w:p>
            <w:pPr>
              <w:jc w:val="center"/>
            </w:pPr>
            <w:r>
              <w:rPr>
                <w:sz w:val="18"/>
              </w:rPr>
              <w:t>Moderate</w:t>
            </w:r>
          </w:p>
        </w:tc>
        <w:tc>
          <w:tcPr>
            <w:tcW w:type="dxa" w:w="2160"/>
          </w:tcPr>
          <w:p>
            <w:pPr>
              <w:jc w:val="center"/>
            </w:pPr>
            <w:r>
              <w:rPr>
                <w:sz w:val="18"/>
              </w:rPr>
              <w:t>Female</w:t>
            </w:r>
          </w:p>
        </w:tc>
        <w:tc>
          <w:tcPr>
            <w:tcW w:type="dxa" w:w="2160"/>
          </w:tcPr>
          <w:p>
            <w:pPr>
              <w:jc w:val="center"/>
            </w:pPr>
            <w:r>
              <w:rPr>
                <w:sz w:val="18"/>
              </w:rPr>
              <w:t>3</w:t>
            </w:r>
          </w:p>
        </w:tc>
        <w:tc>
          <w:tcPr>
            <w:tcW w:type="dxa" w:w="2160"/>
          </w:tcPr>
          <w:p>
            <w:pPr>
              <w:jc w:val="center"/>
            </w:pPr>
            <w:r>
              <w:rPr>
                <w:sz w:val="18"/>
              </w:rPr>
              <w:t>4,930</w:t>
            </w:r>
          </w:p>
        </w:tc>
      </w:tr>
      <w:tr>
        <w:tc>
          <w:tcPr>
            <w:tcW w:type="dxa" w:w="2160"/>
          </w:tcPr>
          <w:p>
            <w:pPr>
              <w:jc w:val="center"/>
            </w:pPr>
            <w:r>
              <w:rPr>
                <w:sz w:val="18"/>
              </w:rPr>
              <w:t>Moderate</w:t>
            </w:r>
          </w:p>
        </w:tc>
        <w:tc>
          <w:tcPr>
            <w:tcW w:type="dxa" w:w="2160"/>
          </w:tcPr>
          <w:p>
            <w:pPr>
              <w:jc w:val="center"/>
            </w:pPr>
            <w:r>
              <w:rPr>
                <w:sz w:val="18"/>
              </w:rPr>
              <w:t>Male</w:t>
            </w:r>
          </w:p>
        </w:tc>
        <w:tc>
          <w:tcPr>
            <w:tcW w:type="dxa" w:w="2160"/>
          </w:tcPr>
          <w:p>
            <w:pPr>
              <w:jc w:val="center"/>
            </w:pPr>
            <w:r>
              <w:rPr>
                <w:sz w:val="18"/>
              </w:rPr>
              <w:t>6</w:t>
            </w:r>
          </w:p>
        </w:tc>
        <w:tc>
          <w:tcPr>
            <w:tcW w:type="dxa" w:w="2160"/>
          </w:tcPr>
          <w:p>
            <w:pPr>
              <w:jc w:val="center"/>
            </w:pPr>
            <w:r>
              <w:rPr>
                <w:sz w:val="18"/>
              </w:rPr>
              <w:t>5,102</w:t>
            </w:r>
          </w:p>
        </w:tc>
      </w:tr>
      <w:tr>
        <w:tc>
          <w:tcPr>
            <w:tcW w:type="dxa" w:w="2160"/>
          </w:tcPr>
          <w:p>
            <w:pPr>
              <w:jc w:val="center"/>
            </w:pPr>
            <w:r>
              <w:rPr>
                <w:sz w:val="18"/>
              </w:rPr>
              <w:t>Recovered</w:t>
            </w:r>
          </w:p>
        </w:tc>
        <w:tc>
          <w:tcPr>
            <w:tcW w:type="dxa" w:w="2160"/>
          </w:tcPr>
          <w:p>
            <w:pPr>
              <w:jc w:val="center"/>
            </w:pPr>
            <w:r>
              <w:rPr>
                <w:sz w:val="18"/>
              </w:rPr>
              <w:t>Female</w:t>
            </w:r>
          </w:p>
        </w:tc>
        <w:tc>
          <w:tcPr>
            <w:tcW w:type="dxa" w:w="2160"/>
          </w:tcPr>
          <w:p>
            <w:pPr>
              <w:jc w:val="center"/>
            </w:pPr>
            <w:r>
              <w:rPr>
                <w:sz w:val="18"/>
              </w:rPr>
              <w:t>3</w:t>
            </w:r>
          </w:p>
        </w:tc>
        <w:tc>
          <w:tcPr>
            <w:tcW w:type="dxa" w:w="2160"/>
          </w:tcPr>
          <w:p>
            <w:pPr>
              <w:jc w:val="center"/>
            </w:pPr>
            <w:r>
              <w:rPr>
                <w:sz w:val="18"/>
              </w:rPr>
              <w:t>23,711</w:t>
            </w:r>
          </w:p>
        </w:tc>
      </w:tr>
      <w:tr>
        <w:tc>
          <w:tcPr>
            <w:tcW w:type="dxa" w:w="2160"/>
          </w:tcPr>
          <w:p>
            <w:pPr>
              <w:jc w:val="center"/>
            </w:pPr>
            <w:r>
              <w:rPr>
                <w:sz w:val="18"/>
              </w:rPr>
              <w:t>Recovered</w:t>
            </w:r>
          </w:p>
        </w:tc>
        <w:tc>
          <w:tcPr>
            <w:tcW w:type="dxa" w:w="2160"/>
          </w:tcPr>
          <w:p>
            <w:pPr>
              <w:jc w:val="center"/>
            </w:pPr>
            <w:r>
              <w:rPr>
                <w:sz w:val="18"/>
              </w:rPr>
              <w:t>Male</w:t>
            </w:r>
          </w:p>
        </w:tc>
        <w:tc>
          <w:tcPr>
            <w:tcW w:type="dxa" w:w="2160"/>
          </w:tcPr>
          <w:p>
            <w:pPr>
              <w:jc w:val="center"/>
            </w:pPr>
            <w:r>
              <w:rPr>
                <w:sz w:val="18"/>
              </w:rPr>
              <w:t>9</w:t>
            </w:r>
          </w:p>
        </w:tc>
        <w:tc>
          <w:tcPr>
            <w:tcW w:type="dxa" w:w="2160"/>
          </w:tcPr>
          <w:p>
            <w:pPr>
              <w:jc w:val="center"/>
            </w:pPr>
            <w:r>
              <w:rPr>
                <w:sz w:val="18"/>
              </w:rPr>
              <w:t>20,876</w:t>
            </w:r>
          </w:p>
        </w:tc>
      </w:tr>
      <w:tr>
        <w:tc>
          <w:tcPr>
            <w:tcW w:type="dxa" w:w="2160"/>
          </w:tcPr>
          <w:p>
            <w:pPr>
              <w:jc w:val="center"/>
            </w:pPr>
            <w:r>
              <w:rPr>
                <w:sz w:val="18"/>
              </w:rPr>
              <w:t>COVID Naive</w:t>
            </w:r>
          </w:p>
        </w:tc>
        <w:tc>
          <w:tcPr>
            <w:tcW w:type="dxa" w:w="2160"/>
          </w:tcPr>
          <w:p>
            <w:pPr>
              <w:jc w:val="center"/>
            </w:pPr>
            <w:r>
              <w:rPr>
                <w:sz w:val="18"/>
              </w:rPr>
              <w:t>Female</w:t>
            </w:r>
          </w:p>
        </w:tc>
        <w:tc>
          <w:tcPr>
            <w:tcW w:type="dxa" w:w="2160"/>
          </w:tcPr>
          <w:p>
            <w:pPr>
              <w:jc w:val="center"/>
            </w:pPr>
            <w:r>
              <w:rPr>
                <w:sz w:val="18"/>
              </w:rPr>
              <w:t>4</w:t>
            </w:r>
          </w:p>
        </w:tc>
        <w:tc>
          <w:tcPr>
            <w:tcW w:type="dxa" w:w="2160"/>
          </w:tcPr>
          <w:p>
            <w:pPr>
              <w:jc w:val="center"/>
            </w:pPr>
            <w:r>
              <w:rPr>
                <w:sz w:val="18"/>
              </w:rPr>
              <w:t>18,745</w:t>
            </w:r>
          </w:p>
        </w:tc>
      </w:tr>
      <w:tr>
        <w:tc>
          <w:tcPr>
            <w:tcW w:type="dxa" w:w="2160"/>
          </w:tcPr>
          <w:p>
            <w:pPr>
              <w:jc w:val="center"/>
            </w:pPr>
            <w:r>
              <w:rPr>
                <w:sz w:val="18"/>
              </w:rPr>
              <w:t>COVID Naive</w:t>
            </w:r>
          </w:p>
        </w:tc>
        <w:tc>
          <w:tcPr>
            <w:tcW w:type="dxa" w:w="2160"/>
          </w:tcPr>
          <w:p>
            <w:pPr>
              <w:jc w:val="center"/>
            </w:pPr>
            <w:r>
              <w:rPr>
                <w:sz w:val="18"/>
              </w:rPr>
              <w:t>Male</w:t>
            </w:r>
          </w:p>
        </w:tc>
        <w:tc>
          <w:tcPr>
            <w:tcW w:type="dxa" w:w="2160"/>
          </w:tcPr>
          <w:p>
            <w:pPr>
              <w:jc w:val="center"/>
            </w:pPr>
            <w:r>
              <w:rPr>
                <w:sz w:val="18"/>
              </w:rPr>
              <w:t>4</w:t>
            </w:r>
          </w:p>
        </w:tc>
        <w:tc>
          <w:tcPr>
            <w:tcW w:type="dxa" w:w="2160"/>
          </w:tcPr>
          <w:p>
            <w:pPr>
              <w:jc w:val="center"/>
            </w:pPr>
            <w:r>
              <w:rPr>
                <w:sz w:val="18"/>
              </w:rPr>
              <w:t>16,364</w:t>
            </w:r>
          </w:p>
        </w:tc>
      </w:tr>
      <w:tr>
        <w:tc>
          <w:tcPr>
            <w:tcW w:type="dxa" w:w="2160"/>
          </w:tcPr>
          <w:p>
            <w:pPr>
              <w:jc w:val="center"/>
            </w:pPr>
            <w:r>
              <w:rPr>
                <w:sz w:val="18"/>
              </w:rPr>
              <w:t>Healthy</w:t>
            </w:r>
          </w:p>
        </w:tc>
        <w:tc>
          <w:tcPr>
            <w:tcW w:type="dxa" w:w="2160"/>
          </w:tcPr>
          <w:p>
            <w:pPr>
              <w:jc w:val="center"/>
            </w:pPr>
            <w:r>
              <w:rPr>
                <w:sz w:val="18"/>
              </w:rPr>
              <w:t>Female</w:t>
            </w:r>
          </w:p>
        </w:tc>
        <w:tc>
          <w:tcPr>
            <w:tcW w:type="dxa" w:w="2160"/>
          </w:tcPr>
          <w:p>
            <w:pPr>
              <w:jc w:val="center"/>
            </w:pPr>
            <w:r>
              <w:rPr>
                <w:sz w:val="18"/>
              </w:rPr>
              <w:t>1</w:t>
            </w:r>
          </w:p>
        </w:tc>
        <w:tc>
          <w:tcPr>
            <w:tcW w:type="dxa" w:w="2160"/>
          </w:tcPr>
          <w:p>
            <w:pPr>
              <w:jc w:val="center"/>
            </w:pPr>
            <w:r>
              <w:rPr>
                <w:sz w:val="18"/>
              </w:rPr>
              <w:t>1,972</w:t>
            </w:r>
          </w:p>
        </w:tc>
      </w:tr>
      <w:tr>
        <w:tc>
          <w:tcPr>
            <w:tcW w:type="dxa" w:w="2160"/>
          </w:tcPr>
          <w:p>
            <w:pPr>
              <w:jc w:val="center"/>
            </w:pPr>
            <w:r>
              <w:rPr>
                <w:sz w:val="18"/>
              </w:rPr>
              <w:t>Healthy</w:t>
            </w:r>
          </w:p>
        </w:tc>
        <w:tc>
          <w:tcPr>
            <w:tcW w:type="dxa" w:w="2160"/>
          </w:tcPr>
          <w:p>
            <w:pPr>
              <w:jc w:val="center"/>
            </w:pPr>
            <w:r>
              <w:rPr>
                <w:sz w:val="18"/>
              </w:rPr>
              <w:t>Male</w:t>
            </w:r>
          </w:p>
        </w:tc>
        <w:tc>
          <w:tcPr>
            <w:tcW w:type="dxa" w:w="2160"/>
          </w:tcPr>
          <w:p>
            <w:pPr>
              <w:jc w:val="center"/>
            </w:pPr>
            <w:r>
              <w:rPr>
                <w:sz w:val="18"/>
              </w:rPr>
              <w:t>5</w:t>
            </w:r>
          </w:p>
        </w:tc>
        <w:tc>
          <w:tcPr>
            <w:tcW w:type="dxa" w:w="2160"/>
          </w:tcPr>
          <w:p>
            <w:pPr>
              <w:jc w:val="center"/>
            </w:pPr>
            <w:r>
              <w:rPr>
                <w:sz w:val="18"/>
              </w:rPr>
              <w:t>1,442</w:t>
            </w:r>
          </w:p>
        </w:tc>
      </w:tr>
    </w:tbl>
    <w:p/>
    <w:p>
      <w:r>
        <w:br w:type="page"/>
      </w:r>
    </w:p>
    <w:p>
      <w:pPr>
        <w:pStyle w:val="Heading2"/>
      </w:pPr>
      <w:r>
        <w:t>4. Top-X Clone Proportion Analysis</w:t>
      </w:r>
    </w:p>
    <w:p>
      <w:r>
        <w:t>The proportion of total repertoire copies held by the top expanded clones (Top 10, Top 100, and Top 1000) provides a measure of clonal dominance. Higher proportions indicate that a small number of clones dominate the repertoire.</w:t>
      </w:r>
    </w:p>
    <w:p>
      <w:pPr>
        <w:pStyle w:val="Heading3"/>
      </w:pPr>
      <w:r>
        <w:t>4.1 Top-X Proportion by Disease Category</w:t>
      </w:r>
    </w:p>
    <w:p>
      <w:r>
        <w:t>Figure 21 shows the proportion of total copies captured by the top 10, 100, and 1000 clones across disease categories. Healthy subjects showed notably high Top 1000 concentration (median 99.3%), indicating that nearly all copies belong to the top 1000 clones, consistent with a repertoire dominated by relatively few expanded clones. Moderate disease subjects showed the highest Top 10 dominance (median 23.1%).</w:t>
      </w:r>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9144000" cy="3918857"/>
            <wp:docPr id="21" name="Picture 21"/>
            <wp:cNvGraphicFramePr>
              <a:graphicFrameLocks noChangeAspect="1"/>
            </wp:cNvGraphicFramePr>
            <a:graphic>
              <a:graphicData uri="http://schemas.openxmlformats.org/drawingml/2006/picture">
                <pic:pic>
                  <pic:nvPicPr>
                    <pic:cNvPr id="0" name="10_topX_stacked_by_disease.png"/>
                    <pic:cNvPicPr/>
                  </pic:nvPicPr>
                  <pic:blipFill>
                    <a:blip r:embed="rId29"/>
                    <a:stretch>
                      <a:fillRect/>
                    </a:stretch>
                  </pic:blipFill>
                  <pic:spPr>
                    <a:xfrm>
                      <a:off x="0" y="0"/>
                      <a:ext cx="9144000" cy="3918857"/>
                    </a:xfrm>
                    <a:prstGeom prst="rect"/>
                  </pic:spPr>
                </pic:pic>
              </a:graphicData>
            </a:graphic>
          </wp:inline>
        </w:drawing>
      </w:r>
    </w:p>
    <w:p>
      <w:pPr>
        <w:jc w:val="center"/>
      </w:pPr>
      <w:r>
        <w:rPr>
          <w:i/>
          <w:sz w:val="20"/>
        </w:rPr>
        <w:t>Figure 21. Clonal dominance: fraction of total repertoire copies held by Top 10 (red), Top 11-100 (orange), Top 101-1000 (green), and remaining (blue) clones per subject, faceted by disease category and sorted by Top 10 dominance.</w:t>
      </w:r>
    </w:p>
    <w:p/>
    <w:p>
      <w:pPr>
        <w:sectPr>
          <w:type w:val="nextPage"/>
          <w:pgSz w:w="15840" w:h="12240" w:orient="landscape"/>
          <w:pgMar w:top="1440" w:right="720" w:bottom="1440" w:left="720" w:header="720" w:footer="720" w:gutter="0"/>
          <w:cols w:space="720"/>
          <w:docGrid w:linePitch="360"/>
        </w:sectPr>
      </w:pPr>
    </w:p>
    <w:p>
      <w:pPr>
        <w:jc w:val="center"/>
      </w:pPr>
      <w:r>
        <w:rPr>
          <w:b/>
          <w:sz w:val="20"/>
        </w:rPr>
        <w:t>Table 3. Median proportion of total copies held by top-X clones.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Disease Category</w:t>
            </w:r>
          </w:p>
        </w:tc>
        <w:tc>
          <w:tcPr>
            <w:tcW w:type="dxa" w:w="1872"/>
          </w:tcPr>
          <w:p>
            <w:pPr>
              <w:jc w:val="center"/>
            </w:pPr>
            <w:r>
              <w:rPr>
                <w:b/>
                <w:sz w:val="18"/>
              </w:rPr>
              <w:t>n</w:t>
            </w:r>
          </w:p>
        </w:tc>
        <w:tc>
          <w:tcPr>
            <w:tcW w:type="dxa" w:w="1872"/>
          </w:tcPr>
          <w:p>
            <w:pPr>
              <w:jc w:val="center"/>
            </w:pPr>
            <w:r>
              <w:rPr>
                <w:b/>
                <w:sz w:val="18"/>
              </w:rPr>
              <w:t>Top 10 (%)</w:t>
            </w:r>
          </w:p>
        </w:tc>
        <w:tc>
          <w:tcPr>
            <w:tcW w:type="dxa" w:w="1872"/>
          </w:tcPr>
          <w:p>
            <w:pPr>
              <w:jc w:val="center"/>
            </w:pPr>
            <w:r>
              <w:rPr>
                <w:b/>
                <w:sz w:val="18"/>
              </w:rPr>
              <w:t>Top 100 (%)</w:t>
            </w:r>
          </w:p>
        </w:tc>
        <w:tc>
          <w:tcPr>
            <w:tcW w:type="dxa" w:w="1872"/>
          </w:tcPr>
          <w:p>
            <w:pPr>
              <w:jc w:val="center"/>
            </w:pPr>
            <w:r>
              <w:rPr>
                <w:b/>
                <w:sz w:val="18"/>
              </w:rPr>
              <w:t>Top 1000 (%)</w:t>
            </w:r>
          </w:p>
        </w:tc>
      </w:tr>
      <w:tr>
        <w:tc>
          <w:tcPr>
            <w:tcW w:type="dxa" w:w="1872"/>
          </w:tcPr>
          <w:p>
            <w:pPr>
              <w:jc w:val="center"/>
            </w:pPr>
            <w:r>
              <w:rPr>
                <w:sz w:val="18"/>
              </w:rPr>
              <w:t>Severe</w:t>
            </w:r>
          </w:p>
        </w:tc>
        <w:tc>
          <w:tcPr>
            <w:tcW w:type="dxa" w:w="1872"/>
          </w:tcPr>
          <w:p>
            <w:pPr>
              <w:jc w:val="center"/>
            </w:pPr>
            <w:r>
              <w:rPr>
                <w:sz w:val="18"/>
              </w:rPr>
              <w:t>27</w:t>
            </w:r>
          </w:p>
        </w:tc>
        <w:tc>
          <w:tcPr>
            <w:tcW w:type="dxa" w:w="1872"/>
          </w:tcPr>
          <w:p>
            <w:pPr>
              <w:jc w:val="center"/>
            </w:pPr>
            <w:r>
              <w:rPr>
                <w:sz w:val="18"/>
              </w:rPr>
              <w:t>15.8</w:t>
            </w:r>
          </w:p>
        </w:tc>
        <w:tc>
          <w:tcPr>
            <w:tcW w:type="dxa" w:w="1872"/>
          </w:tcPr>
          <w:p>
            <w:pPr>
              <w:jc w:val="center"/>
            </w:pPr>
            <w:r>
              <w:rPr>
                <w:sz w:val="18"/>
              </w:rPr>
              <w:t>34.4</w:t>
            </w:r>
          </w:p>
        </w:tc>
        <w:tc>
          <w:tcPr>
            <w:tcW w:type="dxa" w:w="1872"/>
          </w:tcPr>
          <w:p>
            <w:pPr>
              <w:jc w:val="center"/>
            </w:pPr>
            <w:r>
              <w:rPr>
                <w:sz w:val="18"/>
              </w:rPr>
              <w:t>70.8</w:t>
            </w:r>
          </w:p>
        </w:tc>
      </w:tr>
      <w:tr>
        <w:tc>
          <w:tcPr>
            <w:tcW w:type="dxa" w:w="1872"/>
          </w:tcPr>
          <w:p>
            <w:pPr>
              <w:jc w:val="center"/>
            </w:pPr>
            <w:r>
              <w:rPr>
                <w:sz w:val="18"/>
              </w:rPr>
              <w:t>Mild</w:t>
            </w:r>
          </w:p>
        </w:tc>
        <w:tc>
          <w:tcPr>
            <w:tcW w:type="dxa" w:w="1872"/>
          </w:tcPr>
          <w:p>
            <w:pPr>
              <w:jc w:val="center"/>
            </w:pPr>
            <w:r>
              <w:rPr>
                <w:sz w:val="18"/>
              </w:rPr>
              <w:t>41</w:t>
            </w:r>
          </w:p>
        </w:tc>
        <w:tc>
          <w:tcPr>
            <w:tcW w:type="dxa" w:w="1872"/>
          </w:tcPr>
          <w:p>
            <w:pPr>
              <w:jc w:val="center"/>
            </w:pPr>
            <w:r>
              <w:rPr>
                <w:sz w:val="18"/>
              </w:rPr>
              <w:t>10.6</w:t>
            </w:r>
          </w:p>
        </w:tc>
        <w:tc>
          <w:tcPr>
            <w:tcW w:type="dxa" w:w="1872"/>
          </w:tcPr>
          <w:p>
            <w:pPr>
              <w:jc w:val="center"/>
            </w:pPr>
            <w:r>
              <w:rPr>
                <w:sz w:val="18"/>
              </w:rPr>
              <w:t>33.3</w:t>
            </w:r>
          </w:p>
        </w:tc>
        <w:tc>
          <w:tcPr>
            <w:tcW w:type="dxa" w:w="1872"/>
          </w:tcPr>
          <w:p>
            <w:pPr>
              <w:jc w:val="center"/>
            </w:pPr>
            <w:r>
              <w:rPr>
                <w:sz w:val="18"/>
              </w:rPr>
              <w:t>75.2</w:t>
            </w:r>
          </w:p>
        </w:tc>
      </w:tr>
      <w:tr>
        <w:tc>
          <w:tcPr>
            <w:tcW w:type="dxa" w:w="1872"/>
          </w:tcPr>
          <w:p>
            <w:pPr>
              <w:jc w:val="center"/>
            </w:pPr>
            <w:r>
              <w:rPr>
                <w:sz w:val="18"/>
              </w:rPr>
              <w:t>Moderate</w:t>
            </w:r>
          </w:p>
        </w:tc>
        <w:tc>
          <w:tcPr>
            <w:tcW w:type="dxa" w:w="1872"/>
          </w:tcPr>
          <w:p>
            <w:pPr>
              <w:jc w:val="center"/>
            </w:pPr>
            <w:r>
              <w:rPr>
                <w:sz w:val="18"/>
              </w:rPr>
              <w:t>9</w:t>
            </w:r>
          </w:p>
        </w:tc>
        <w:tc>
          <w:tcPr>
            <w:tcW w:type="dxa" w:w="1872"/>
          </w:tcPr>
          <w:p>
            <w:pPr>
              <w:jc w:val="center"/>
            </w:pPr>
            <w:r>
              <w:rPr>
                <w:sz w:val="18"/>
              </w:rPr>
              <w:t>23.1</w:t>
            </w:r>
          </w:p>
        </w:tc>
        <w:tc>
          <w:tcPr>
            <w:tcW w:type="dxa" w:w="1872"/>
          </w:tcPr>
          <w:p>
            <w:pPr>
              <w:jc w:val="center"/>
            </w:pPr>
            <w:r>
              <w:rPr>
                <w:sz w:val="18"/>
              </w:rPr>
              <w:t>46.4</w:t>
            </w:r>
          </w:p>
        </w:tc>
        <w:tc>
          <w:tcPr>
            <w:tcW w:type="dxa" w:w="1872"/>
          </w:tcPr>
          <w:p>
            <w:pPr>
              <w:jc w:val="center"/>
            </w:pPr>
            <w:r>
              <w:rPr>
                <w:sz w:val="18"/>
              </w:rPr>
              <w:t>74.5</w:t>
            </w:r>
          </w:p>
        </w:tc>
      </w:tr>
      <w:tr>
        <w:tc>
          <w:tcPr>
            <w:tcW w:type="dxa" w:w="1872"/>
          </w:tcPr>
          <w:p>
            <w:pPr>
              <w:jc w:val="center"/>
            </w:pPr>
            <w:r>
              <w:rPr>
                <w:sz w:val="18"/>
              </w:rPr>
              <w:t>Recovered</w:t>
            </w:r>
          </w:p>
        </w:tc>
        <w:tc>
          <w:tcPr>
            <w:tcW w:type="dxa" w:w="1872"/>
          </w:tcPr>
          <w:p>
            <w:pPr>
              <w:jc w:val="center"/>
            </w:pPr>
            <w:r>
              <w:rPr>
                <w:sz w:val="18"/>
              </w:rPr>
              <w:t>12</w:t>
            </w:r>
          </w:p>
        </w:tc>
        <w:tc>
          <w:tcPr>
            <w:tcW w:type="dxa" w:w="1872"/>
          </w:tcPr>
          <w:p>
            <w:pPr>
              <w:jc w:val="center"/>
            </w:pPr>
            <w:r>
              <w:rPr>
                <w:sz w:val="18"/>
              </w:rPr>
              <w:t>13.7</w:t>
            </w:r>
          </w:p>
        </w:tc>
        <w:tc>
          <w:tcPr>
            <w:tcW w:type="dxa" w:w="1872"/>
          </w:tcPr>
          <w:p>
            <w:pPr>
              <w:jc w:val="center"/>
            </w:pPr>
            <w:r>
              <w:rPr>
                <w:sz w:val="18"/>
              </w:rPr>
              <w:t>35.9</w:t>
            </w:r>
          </w:p>
        </w:tc>
        <w:tc>
          <w:tcPr>
            <w:tcW w:type="dxa" w:w="1872"/>
          </w:tcPr>
          <w:p>
            <w:pPr>
              <w:jc w:val="center"/>
            </w:pPr>
            <w:r>
              <w:rPr>
                <w:sz w:val="18"/>
              </w:rPr>
              <w:t>62.0</w:t>
            </w:r>
          </w:p>
        </w:tc>
      </w:tr>
      <w:tr>
        <w:tc>
          <w:tcPr>
            <w:tcW w:type="dxa" w:w="1872"/>
          </w:tcPr>
          <w:p>
            <w:pPr>
              <w:jc w:val="center"/>
            </w:pPr>
            <w:r>
              <w:rPr>
                <w:sz w:val="18"/>
              </w:rPr>
              <w:t>COVID Naive</w:t>
            </w:r>
          </w:p>
        </w:tc>
        <w:tc>
          <w:tcPr>
            <w:tcW w:type="dxa" w:w="1872"/>
          </w:tcPr>
          <w:p>
            <w:pPr>
              <w:jc w:val="center"/>
            </w:pPr>
            <w:r>
              <w:rPr>
                <w:sz w:val="18"/>
              </w:rPr>
              <w:t>8</w:t>
            </w:r>
          </w:p>
        </w:tc>
        <w:tc>
          <w:tcPr>
            <w:tcW w:type="dxa" w:w="1872"/>
          </w:tcPr>
          <w:p>
            <w:pPr>
              <w:jc w:val="center"/>
            </w:pPr>
            <w:r>
              <w:rPr>
                <w:sz w:val="18"/>
              </w:rPr>
              <w:t>9.6</w:t>
            </w:r>
          </w:p>
        </w:tc>
        <w:tc>
          <w:tcPr>
            <w:tcW w:type="dxa" w:w="1872"/>
          </w:tcPr>
          <w:p>
            <w:pPr>
              <w:jc w:val="center"/>
            </w:pPr>
            <w:r>
              <w:rPr>
                <w:sz w:val="18"/>
              </w:rPr>
              <w:t>36.0</w:t>
            </w:r>
          </w:p>
        </w:tc>
        <w:tc>
          <w:tcPr>
            <w:tcW w:type="dxa" w:w="1872"/>
          </w:tcPr>
          <w:p>
            <w:pPr>
              <w:jc w:val="center"/>
            </w:pPr>
            <w:r>
              <w:rPr>
                <w:sz w:val="18"/>
              </w:rPr>
              <w:t>74.0</w:t>
            </w:r>
          </w:p>
        </w:tc>
      </w:tr>
      <w:tr>
        <w:tc>
          <w:tcPr>
            <w:tcW w:type="dxa" w:w="1872"/>
          </w:tcPr>
          <w:p>
            <w:pPr>
              <w:jc w:val="center"/>
            </w:pPr>
            <w:r>
              <w:rPr>
                <w:sz w:val="18"/>
              </w:rPr>
              <w:t>Healthy</w:t>
            </w:r>
          </w:p>
        </w:tc>
        <w:tc>
          <w:tcPr>
            <w:tcW w:type="dxa" w:w="1872"/>
          </w:tcPr>
          <w:p>
            <w:pPr>
              <w:jc w:val="center"/>
            </w:pPr>
            <w:r>
              <w:rPr>
                <w:sz w:val="18"/>
              </w:rPr>
              <w:t>6</w:t>
            </w:r>
          </w:p>
        </w:tc>
        <w:tc>
          <w:tcPr>
            <w:tcW w:type="dxa" w:w="1872"/>
          </w:tcPr>
          <w:p>
            <w:pPr>
              <w:jc w:val="center"/>
            </w:pPr>
            <w:r>
              <w:rPr>
                <w:sz w:val="18"/>
              </w:rPr>
              <w:t>16.9</w:t>
            </w:r>
          </w:p>
        </w:tc>
        <w:tc>
          <w:tcPr>
            <w:tcW w:type="dxa" w:w="1872"/>
          </w:tcPr>
          <w:p>
            <w:pPr>
              <w:jc w:val="center"/>
            </w:pPr>
            <w:r>
              <w:rPr>
                <w:sz w:val="18"/>
              </w:rPr>
              <w:t>58.7</w:t>
            </w:r>
          </w:p>
        </w:tc>
        <w:tc>
          <w:tcPr>
            <w:tcW w:type="dxa" w:w="1872"/>
          </w:tcPr>
          <w:p>
            <w:pPr>
              <w:jc w:val="center"/>
            </w:pPr>
            <w:r>
              <w:rPr>
                <w:sz w:val="18"/>
              </w:rPr>
              <w:t>99.3</w:t>
            </w:r>
          </w:p>
        </w:tc>
      </w:tr>
    </w:tbl>
    <w:p/>
    <w:p>
      <w:pPr>
        <w:pStyle w:val="Heading3"/>
      </w:pPr>
      <w:r>
        <w:t>4.2 Top-X Proportion by Age and Disease</w:t>
      </w:r>
    </w:p>
    <w:p>
      <w:r>
        <w:t>Figure 22 presents the top-X clone proportions stratified by age group within each disease category.</w:t>
      </w:r>
    </w:p>
    <w:p>
      <w:pPr>
        <w:sectPr>
          <w:type w:val="nextPage"/>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144000" cy="4064000"/>
            <wp:docPr id="22" name="Picture 22"/>
            <wp:cNvGraphicFramePr>
              <a:graphicFrameLocks noChangeAspect="1"/>
            </wp:cNvGraphicFramePr>
            <a:graphic>
              <a:graphicData uri="http://schemas.openxmlformats.org/drawingml/2006/picture">
                <pic:pic>
                  <pic:nvPicPr>
                    <pic:cNvPr id="0" name="11_topX_stacked_by_age_disease.png"/>
                    <pic:cNvPicPr/>
                  </pic:nvPicPr>
                  <pic:blipFill>
                    <a:blip r:embed="rId30"/>
                    <a:stretch>
                      <a:fillRect/>
                    </a:stretch>
                  </pic:blipFill>
                  <pic:spPr>
                    <a:xfrm>
                      <a:off x="0" y="0"/>
                      <a:ext cx="9144000" cy="4064000"/>
                    </a:xfrm>
                    <a:prstGeom prst="rect"/>
                  </pic:spPr>
                </pic:pic>
              </a:graphicData>
            </a:graphic>
          </wp:inline>
        </w:drawing>
      </w:r>
    </w:p>
    <w:p>
      <w:pPr>
        <w:jc w:val="center"/>
      </w:pPr>
      <w:r>
        <w:rPr>
          <w:i/>
          <w:sz w:val="20"/>
        </w:rPr>
        <w:t>Figure 22. Clonal dominance stacked bars per subject, faceted by disease category and age group, sorted by Top 10 dominance.</w:t>
      </w:r>
    </w:p>
    <w:p/>
    <w:p>
      <w:pPr>
        <w:sectPr>
          <w:type w:val="nextPage"/>
          <w:pgSz w:w="15840" w:h="12240" w:orient="landscape"/>
          <w:pgMar w:top="1440" w:right="720" w:bottom="1440" w:left="720" w:header="720" w:footer="720" w:gutter="0"/>
          <w:cols w:space="720"/>
          <w:docGrid w:linePitch="360"/>
        </w:sectPr>
      </w:pPr>
    </w:p>
    <w:p>
      <w:pPr>
        <w:pStyle w:val="Heading3"/>
      </w:pPr>
      <w:r>
        <w:t>4.3 Top-X Proportion by Sex and Disease</w:t>
      </w:r>
    </w:p>
    <w:p>
      <w:r>
        <w:t>Figure 23 shows top-X clone proportions by sex within each disease category.</w:t>
      </w:r>
    </w:p>
    <w:p>
      <w:pPr>
        <w:sectPr>
          <w:type w:val="nextPage"/>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144000" cy="4572000"/>
            <wp:docPr id="23" name="Picture 23"/>
            <wp:cNvGraphicFramePr>
              <a:graphicFrameLocks noChangeAspect="1"/>
            </wp:cNvGraphicFramePr>
            <a:graphic>
              <a:graphicData uri="http://schemas.openxmlformats.org/drawingml/2006/picture">
                <pic:pic>
                  <pic:nvPicPr>
                    <pic:cNvPr id="0" name="11b_topX_stacked_by_sex_disease.png"/>
                    <pic:cNvPicPr/>
                  </pic:nvPicPr>
                  <pic:blipFill>
                    <a:blip r:embed="rId31"/>
                    <a:stretch>
                      <a:fillRect/>
                    </a:stretch>
                  </pic:blipFill>
                  <pic:spPr>
                    <a:xfrm>
                      <a:off x="0" y="0"/>
                      <a:ext cx="9144000" cy="4572000"/>
                    </a:xfrm>
                    <a:prstGeom prst="rect"/>
                  </pic:spPr>
                </pic:pic>
              </a:graphicData>
            </a:graphic>
          </wp:inline>
        </w:drawing>
      </w:r>
    </w:p>
    <w:p>
      <w:pPr>
        <w:jc w:val="center"/>
      </w:pPr>
      <w:r>
        <w:rPr>
          <w:i/>
          <w:sz w:val="20"/>
        </w:rPr>
        <w:t>Figure 23. Clonal dominance stacked bars per subject, faceted by disease category and sex, sorted by Top 10 dominance.</w:t>
      </w:r>
    </w:p>
    <w:p/>
    <w:p>
      <w:pPr>
        <w:sectPr>
          <w:type w:val="nextPage"/>
          <w:pgSz w:w="15840" w:h="12240" w:orient="landscape"/>
          <w:pgMar w:top="1440" w:right="720" w:bottom="1440" w:left="720" w:header="720" w:footer="720" w:gutter="0"/>
          <w:cols w:space="720"/>
          <w:docGrid w:linePitch="360"/>
        </w:sectPr>
      </w:pPr>
    </w:p>
    <w:p>
      <w:pPr>
        <w:jc w:val="center"/>
      </w:pPr>
      <w:r>
        <w:rPr>
          <w:b/>
          <w:sz w:val="20"/>
        </w:rPr>
        <w:t>Table 4. Median top-X clone proportions by disease category and sex.</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Disease Category</w:t>
            </w:r>
          </w:p>
        </w:tc>
        <w:tc>
          <w:tcPr>
            <w:tcW w:type="dxa" w:w="1872"/>
          </w:tcPr>
          <w:p>
            <w:pPr>
              <w:jc w:val="center"/>
            </w:pPr>
            <w:r>
              <w:rPr>
                <w:b/>
                <w:sz w:val="18"/>
              </w:rPr>
              <w:t>Sex</w:t>
            </w:r>
          </w:p>
        </w:tc>
        <w:tc>
          <w:tcPr>
            <w:tcW w:type="dxa" w:w="1872"/>
          </w:tcPr>
          <w:p>
            <w:pPr>
              <w:jc w:val="center"/>
            </w:pPr>
            <w:r>
              <w:rPr>
                <w:b/>
                <w:sz w:val="18"/>
              </w:rPr>
              <w:t>n</w:t>
            </w:r>
          </w:p>
        </w:tc>
        <w:tc>
          <w:tcPr>
            <w:tcW w:type="dxa" w:w="1872"/>
          </w:tcPr>
          <w:p>
            <w:pPr>
              <w:jc w:val="center"/>
            </w:pPr>
            <w:r>
              <w:rPr>
                <w:b/>
                <w:sz w:val="18"/>
              </w:rPr>
              <w:t>Top 10 (%)</w:t>
            </w:r>
          </w:p>
        </w:tc>
        <w:tc>
          <w:tcPr>
            <w:tcW w:type="dxa" w:w="1872"/>
          </w:tcPr>
          <w:p>
            <w:pPr>
              <w:jc w:val="center"/>
            </w:pPr>
            <w:r>
              <w:rPr>
                <w:b/>
                <w:sz w:val="18"/>
              </w:rPr>
              <w:t>Top 100 (%)</w:t>
            </w:r>
          </w:p>
        </w:tc>
      </w:tr>
      <w:tr>
        <w:tc>
          <w:tcPr>
            <w:tcW w:type="dxa" w:w="1872"/>
          </w:tcPr>
          <w:p>
            <w:pPr>
              <w:jc w:val="center"/>
            </w:pPr>
            <w:r>
              <w:rPr>
                <w:sz w:val="18"/>
              </w:rPr>
              <w:t>Severe</w:t>
            </w:r>
          </w:p>
        </w:tc>
        <w:tc>
          <w:tcPr>
            <w:tcW w:type="dxa" w:w="1872"/>
          </w:tcPr>
          <w:p>
            <w:pPr>
              <w:jc w:val="center"/>
            </w:pPr>
            <w:r>
              <w:rPr>
                <w:sz w:val="18"/>
              </w:rPr>
              <w:t>Female</w:t>
            </w:r>
          </w:p>
        </w:tc>
        <w:tc>
          <w:tcPr>
            <w:tcW w:type="dxa" w:w="1872"/>
          </w:tcPr>
          <w:p>
            <w:pPr>
              <w:jc w:val="center"/>
            </w:pPr>
            <w:r>
              <w:rPr>
                <w:sz w:val="18"/>
              </w:rPr>
              <w:t>5</w:t>
            </w:r>
          </w:p>
        </w:tc>
        <w:tc>
          <w:tcPr>
            <w:tcW w:type="dxa" w:w="1872"/>
          </w:tcPr>
          <w:p>
            <w:pPr>
              <w:jc w:val="center"/>
            </w:pPr>
            <w:r>
              <w:rPr>
                <w:sz w:val="18"/>
              </w:rPr>
              <w:t>12.4</w:t>
            </w:r>
          </w:p>
        </w:tc>
        <w:tc>
          <w:tcPr>
            <w:tcW w:type="dxa" w:w="1872"/>
          </w:tcPr>
          <w:p>
            <w:pPr>
              <w:jc w:val="center"/>
            </w:pPr>
            <w:r>
              <w:rPr>
                <w:sz w:val="18"/>
              </w:rPr>
              <w:t>38.6</w:t>
            </w:r>
          </w:p>
        </w:tc>
      </w:tr>
      <w:tr>
        <w:tc>
          <w:tcPr>
            <w:tcW w:type="dxa" w:w="1872"/>
          </w:tcPr>
          <w:p>
            <w:pPr>
              <w:jc w:val="center"/>
            </w:pPr>
            <w:r>
              <w:rPr>
                <w:sz w:val="18"/>
              </w:rPr>
              <w:t>Severe</w:t>
            </w:r>
          </w:p>
        </w:tc>
        <w:tc>
          <w:tcPr>
            <w:tcW w:type="dxa" w:w="1872"/>
          </w:tcPr>
          <w:p>
            <w:pPr>
              <w:jc w:val="center"/>
            </w:pPr>
            <w:r>
              <w:rPr>
                <w:sz w:val="18"/>
              </w:rPr>
              <w:t>Male</w:t>
            </w:r>
          </w:p>
        </w:tc>
        <w:tc>
          <w:tcPr>
            <w:tcW w:type="dxa" w:w="1872"/>
          </w:tcPr>
          <w:p>
            <w:pPr>
              <w:jc w:val="center"/>
            </w:pPr>
            <w:r>
              <w:rPr>
                <w:sz w:val="18"/>
              </w:rPr>
              <w:t>14</w:t>
            </w:r>
          </w:p>
        </w:tc>
        <w:tc>
          <w:tcPr>
            <w:tcW w:type="dxa" w:w="1872"/>
          </w:tcPr>
          <w:p>
            <w:pPr>
              <w:jc w:val="center"/>
            </w:pPr>
            <w:r>
              <w:rPr>
                <w:sz w:val="18"/>
              </w:rPr>
              <w:t>19.2</w:t>
            </w:r>
          </w:p>
        </w:tc>
        <w:tc>
          <w:tcPr>
            <w:tcW w:type="dxa" w:w="1872"/>
          </w:tcPr>
          <w:p>
            <w:pPr>
              <w:jc w:val="center"/>
            </w:pPr>
            <w:r>
              <w:rPr>
                <w:sz w:val="18"/>
              </w:rPr>
              <w:t>35.9</w:t>
            </w:r>
          </w:p>
        </w:tc>
      </w:tr>
      <w:tr>
        <w:tc>
          <w:tcPr>
            <w:tcW w:type="dxa" w:w="1872"/>
          </w:tcPr>
          <w:p>
            <w:pPr>
              <w:jc w:val="center"/>
            </w:pPr>
            <w:r>
              <w:rPr>
                <w:sz w:val="18"/>
              </w:rPr>
              <w:t>Mild</w:t>
            </w:r>
          </w:p>
        </w:tc>
        <w:tc>
          <w:tcPr>
            <w:tcW w:type="dxa" w:w="1872"/>
          </w:tcPr>
          <w:p>
            <w:pPr>
              <w:jc w:val="center"/>
            </w:pPr>
            <w:r>
              <w:rPr>
                <w:sz w:val="18"/>
              </w:rPr>
              <w:t>Female</w:t>
            </w:r>
          </w:p>
        </w:tc>
        <w:tc>
          <w:tcPr>
            <w:tcW w:type="dxa" w:w="1872"/>
          </w:tcPr>
          <w:p>
            <w:pPr>
              <w:jc w:val="center"/>
            </w:pPr>
            <w:r>
              <w:rPr>
                <w:sz w:val="18"/>
              </w:rPr>
              <w:t>19</w:t>
            </w:r>
          </w:p>
        </w:tc>
        <w:tc>
          <w:tcPr>
            <w:tcW w:type="dxa" w:w="1872"/>
          </w:tcPr>
          <w:p>
            <w:pPr>
              <w:jc w:val="center"/>
            </w:pPr>
            <w:r>
              <w:rPr>
                <w:sz w:val="18"/>
              </w:rPr>
              <w:t>10.5</w:t>
            </w:r>
          </w:p>
        </w:tc>
        <w:tc>
          <w:tcPr>
            <w:tcW w:type="dxa" w:w="1872"/>
          </w:tcPr>
          <w:p>
            <w:pPr>
              <w:jc w:val="center"/>
            </w:pPr>
            <w:r>
              <w:rPr>
                <w:sz w:val="18"/>
              </w:rPr>
              <w:t>33.4</w:t>
            </w:r>
          </w:p>
        </w:tc>
      </w:tr>
      <w:tr>
        <w:tc>
          <w:tcPr>
            <w:tcW w:type="dxa" w:w="1872"/>
          </w:tcPr>
          <w:p>
            <w:pPr>
              <w:jc w:val="center"/>
            </w:pPr>
            <w:r>
              <w:rPr>
                <w:sz w:val="18"/>
              </w:rPr>
              <w:t>Mild</w:t>
            </w:r>
          </w:p>
        </w:tc>
        <w:tc>
          <w:tcPr>
            <w:tcW w:type="dxa" w:w="1872"/>
          </w:tcPr>
          <w:p>
            <w:pPr>
              <w:jc w:val="center"/>
            </w:pPr>
            <w:r>
              <w:rPr>
                <w:sz w:val="18"/>
              </w:rPr>
              <w:t>Male</w:t>
            </w:r>
          </w:p>
        </w:tc>
        <w:tc>
          <w:tcPr>
            <w:tcW w:type="dxa" w:w="1872"/>
          </w:tcPr>
          <w:p>
            <w:pPr>
              <w:jc w:val="center"/>
            </w:pPr>
            <w:r>
              <w:rPr>
                <w:sz w:val="18"/>
              </w:rPr>
              <w:t>19</w:t>
            </w:r>
          </w:p>
        </w:tc>
        <w:tc>
          <w:tcPr>
            <w:tcW w:type="dxa" w:w="1872"/>
          </w:tcPr>
          <w:p>
            <w:pPr>
              <w:jc w:val="center"/>
            </w:pPr>
            <w:r>
              <w:rPr>
                <w:sz w:val="18"/>
              </w:rPr>
              <w:t>10.9</w:t>
            </w:r>
          </w:p>
        </w:tc>
        <w:tc>
          <w:tcPr>
            <w:tcW w:type="dxa" w:w="1872"/>
          </w:tcPr>
          <w:p>
            <w:pPr>
              <w:jc w:val="center"/>
            </w:pPr>
            <w:r>
              <w:rPr>
                <w:sz w:val="18"/>
              </w:rPr>
              <w:t>31.8</w:t>
            </w:r>
          </w:p>
        </w:tc>
      </w:tr>
      <w:tr>
        <w:tc>
          <w:tcPr>
            <w:tcW w:type="dxa" w:w="1872"/>
          </w:tcPr>
          <w:p>
            <w:pPr>
              <w:jc w:val="center"/>
            </w:pPr>
            <w:r>
              <w:rPr>
                <w:sz w:val="18"/>
              </w:rPr>
              <w:t>Moderate</w:t>
            </w:r>
          </w:p>
        </w:tc>
        <w:tc>
          <w:tcPr>
            <w:tcW w:type="dxa" w:w="1872"/>
          </w:tcPr>
          <w:p>
            <w:pPr>
              <w:jc w:val="center"/>
            </w:pPr>
            <w:r>
              <w:rPr>
                <w:sz w:val="18"/>
              </w:rPr>
              <w:t>Female</w:t>
            </w:r>
          </w:p>
        </w:tc>
        <w:tc>
          <w:tcPr>
            <w:tcW w:type="dxa" w:w="1872"/>
          </w:tcPr>
          <w:p>
            <w:pPr>
              <w:jc w:val="center"/>
            </w:pPr>
            <w:r>
              <w:rPr>
                <w:sz w:val="18"/>
              </w:rPr>
              <w:t>3</w:t>
            </w:r>
          </w:p>
        </w:tc>
        <w:tc>
          <w:tcPr>
            <w:tcW w:type="dxa" w:w="1872"/>
          </w:tcPr>
          <w:p>
            <w:pPr>
              <w:jc w:val="center"/>
            </w:pPr>
            <w:r>
              <w:rPr>
                <w:sz w:val="18"/>
              </w:rPr>
              <w:t>23.1</w:t>
            </w:r>
          </w:p>
        </w:tc>
        <w:tc>
          <w:tcPr>
            <w:tcW w:type="dxa" w:w="1872"/>
          </w:tcPr>
          <w:p>
            <w:pPr>
              <w:jc w:val="center"/>
            </w:pPr>
            <w:r>
              <w:rPr>
                <w:sz w:val="18"/>
              </w:rPr>
              <w:t>46.4</w:t>
            </w:r>
          </w:p>
        </w:tc>
      </w:tr>
      <w:tr>
        <w:tc>
          <w:tcPr>
            <w:tcW w:type="dxa" w:w="1872"/>
          </w:tcPr>
          <w:p>
            <w:pPr>
              <w:jc w:val="center"/>
            </w:pPr>
            <w:r>
              <w:rPr>
                <w:sz w:val="18"/>
              </w:rPr>
              <w:t>Moderate</w:t>
            </w:r>
          </w:p>
        </w:tc>
        <w:tc>
          <w:tcPr>
            <w:tcW w:type="dxa" w:w="1872"/>
          </w:tcPr>
          <w:p>
            <w:pPr>
              <w:jc w:val="center"/>
            </w:pPr>
            <w:r>
              <w:rPr>
                <w:sz w:val="18"/>
              </w:rPr>
              <w:t>Male</w:t>
            </w:r>
          </w:p>
        </w:tc>
        <w:tc>
          <w:tcPr>
            <w:tcW w:type="dxa" w:w="1872"/>
          </w:tcPr>
          <w:p>
            <w:pPr>
              <w:jc w:val="center"/>
            </w:pPr>
            <w:r>
              <w:rPr>
                <w:sz w:val="18"/>
              </w:rPr>
              <w:t>6</w:t>
            </w:r>
          </w:p>
        </w:tc>
        <w:tc>
          <w:tcPr>
            <w:tcW w:type="dxa" w:w="1872"/>
          </w:tcPr>
          <w:p>
            <w:pPr>
              <w:jc w:val="center"/>
            </w:pPr>
            <w:r>
              <w:rPr>
                <w:sz w:val="18"/>
              </w:rPr>
              <w:t>25.2</w:t>
            </w:r>
          </w:p>
        </w:tc>
        <w:tc>
          <w:tcPr>
            <w:tcW w:type="dxa" w:w="1872"/>
          </w:tcPr>
          <w:p>
            <w:pPr>
              <w:jc w:val="center"/>
            </w:pPr>
            <w:r>
              <w:rPr>
                <w:sz w:val="18"/>
              </w:rPr>
              <w:t>47.9</w:t>
            </w:r>
          </w:p>
        </w:tc>
      </w:tr>
      <w:tr>
        <w:tc>
          <w:tcPr>
            <w:tcW w:type="dxa" w:w="1872"/>
          </w:tcPr>
          <w:p>
            <w:pPr>
              <w:jc w:val="center"/>
            </w:pPr>
            <w:r>
              <w:rPr>
                <w:sz w:val="18"/>
              </w:rPr>
              <w:t>Recovered</w:t>
            </w:r>
          </w:p>
        </w:tc>
        <w:tc>
          <w:tcPr>
            <w:tcW w:type="dxa" w:w="1872"/>
          </w:tcPr>
          <w:p>
            <w:pPr>
              <w:jc w:val="center"/>
            </w:pPr>
            <w:r>
              <w:rPr>
                <w:sz w:val="18"/>
              </w:rPr>
              <w:t>Female</w:t>
            </w:r>
          </w:p>
        </w:tc>
        <w:tc>
          <w:tcPr>
            <w:tcW w:type="dxa" w:w="1872"/>
          </w:tcPr>
          <w:p>
            <w:pPr>
              <w:jc w:val="center"/>
            </w:pPr>
            <w:r>
              <w:rPr>
                <w:sz w:val="18"/>
              </w:rPr>
              <w:t>3</w:t>
            </w:r>
          </w:p>
        </w:tc>
        <w:tc>
          <w:tcPr>
            <w:tcW w:type="dxa" w:w="1872"/>
          </w:tcPr>
          <w:p>
            <w:pPr>
              <w:jc w:val="center"/>
            </w:pPr>
            <w:r>
              <w:rPr>
                <w:sz w:val="18"/>
              </w:rPr>
              <w:t>8.6</w:t>
            </w:r>
          </w:p>
        </w:tc>
        <w:tc>
          <w:tcPr>
            <w:tcW w:type="dxa" w:w="1872"/>
          </w:tcPr>
          <w:p>
            <w:pPr>
              <w:jc w:val="center"/>
            </w:pPr>
            <w:r>
              <w:rPr>
                <w:sz w:val="18"/>
              </w:rPr>
              <w:t>20.3</w:t>
            </w:r>
          </w:p>
        </w:tc>
      </w:tr>
      <w:tr>
        <w:tc>
          <w:tcPr>
            <w:tcW w:type="dxa" w:w="1872"/>
          </w:tcPr>
          <w:p>
            <w:pPr>
              <w:jc w:val="center"/>
            </w:pPr>
            <w:r>
              <w:rPr>
                <w:sz w:val="18"/>
              </w:rPr>
              <w:t>Recovered</w:t>
            </w:r>
          </w:p>
        </w:tc>
        <w:tc>
          <w:tcPr>
            <w:tcW w:type="dxa" w:w="1872"/>
          </w:tcPr>
          <w:p>
            <w:pPr>
              <w:jc w:val="center"/>
            </w:pPr>
            <w:r>
              <w:rPr>
                <w:sz w:val="18"/>
              </w:rPr>
              <w:t>Male</w:t>
            </w:r>
          </w:p>
        </w:tc>
        <w:tc>
          <w:tcPr>
            <w:tcW w:type="dxa" w:w="1872"/>
          </w:tcPr>
          <w:p>
            <w:pPr>
              <w:jc w:val="center"/>
            </w:pPr>
            <w:r>
              <w:rPr>
                <w:sz w:val="18"/>
              </w:rPr>
              <w:t>9</w:t>
            </w:r>
          </w:p>
        </w:tc>
        <w:tc>
          <w:tcPr>
            <w:tcW w:type="dxa" w:w="1872"/>
          </w:tcPr>
          <w:p>
            <w:pPr>
              <w:jc w:val="center"/>
            </w:pPr>
            <w:r>
              <w:rPr>
                <w:sz w:val="18"/>
              </w:rPr>
              <w:t>15.0</w:t>
            </w:r>
          </w:p>
        </w:tc>
        <w:tc>
          <w:tcPr>
            <w:tcW w:type="dxa" w:w="1872"/>
          </w:tcPr>
          <w:p>
            <w:pPr>
              <w:jc w:val="center"/>
            </w:pPr>
            <w:r>
              <w:rPr>
                <w:sz w:val="18"/>
              </w:rPr>
              <w:t>36.4</w:t>
            </w:r>
          </w:p>
        </w:tc>
      </w:tr>
      <w:tr>
        <w:tc>
          <w:tcPr>
            <w:tcW w:type="dxa" w:w="1872"/>
          </w:tcPr>
          <w:p>
            <w:pPr>
              <w:jc w:val="center"/>
            </w:pPr>
            <w:r>
              <w:rPr>
                <w:sz w:val="18"/>
              </w:rPr>
              <w:t>COVID Naive</w:t>
            </w:r>
          </w:p>
        </w:tc>
        <w:tc>
          <w:tcPr>
            <w:tcW w:type="dxa" w:w="1872"/>
          </w:tcPr>
          <w:p>
            <w:pPr>
              <w:jc w:val="center"/>
            </w:pPr>
            <w:r>
              <w:rPr>
                <w:sz w:val="18"/>
              </w:rPr>
              <w:t>Female</w:t>
            </w:r>
          </w:p>
        </w:tc>
        <w:tc>
          <w:tcPr>
            <w:tcW w:type="dxa" w:w="1872"/>
          </w:tcPr>
          <w:p>
            <w:pPr>
              <w:jc w:val="center"/>
            </w:pPr>
            <w:r>
              <w:rPr>
                <w:sz w:val="18"/>
              </w:rPr>
              <w:t>4</w:t>
            </w:r>
          </w:p>
        </w:tc>
        <w:tc>
          <w:tcPr>
            <w:tcW w:type="dxa" w:w="1872"/>
          </w:tcPr>
          <w:p>
            <w:pPr>
              <w:jc w:val="center"/>
            </w:pPr>
            <w:r>
              <w:rPr>
                <w:sz w:val="18"/>
              </w:rPr>
              <w:t>11.0</w:t>
            </w:r>
          </w:p>
        </w:tc>
        <w:tc>
          <w:tcPr>
            <w:tcW w:type="dxa" w:w="1872"/>
          </w:tcPr>
          <w:p>
            <w:pPr>
              <w:jc w:val="center"/>
            </w:pPr>
            <w:r>
              <w:rPr>
                <w:sz w:val="18"/>
              </w:rPr>
              <w:t>39.1</w:t>
            </w:r>
          </w:p>
        </w:tc>
      </w:tr>
      <w:tr>
        <w:tc>
          <w:tcPr>
            <w:tcW w:type="dxa" w:w="1872"/>
          </w:tcPr>
          <w:p>
            <w:pPr>
              <w:jc w:val="center"/>
            </w:pPr>
            <w:r>
              <w:rPr>
                <w:sz w:val="18"/>
              </w:rPr>
              <w:t>COVID Naive</w:t>
            </w:r>
          </w:p>
        </w:tc>
        <w:tc>
          <w:tcPr>
            <w:tcW w:type="dxa" w:w="1872"/>
          </w:tcPr>
          <w:p>
            <w:pPr>
              <w:jc w:val="center"/>
            </w:pPr>
            <w:r>
              <w:rPr>
                <w:sz w:val="18"/>
              </w:rPr>
              <w:t>Male</w:t>
            </w:r>
          </w:p>
        </w:tc>
        <w:tc>
          <w:tcPr>
            <w:tcW w:type="dxa" w:w="1872"/>
          </w:tcPr>
          <w:p>
            <w:pPr>
              <w:jc w:val="center"/>
            </w:pPr>
            <w:r>
              <w:rPr>
                <w:sz w:val="18"/>
              </w:rPr>
              <w:t>4</w:t>
            </w:r>
          </w:p>
        </w:tc>
        <w:tc>
          <w:tcPr>
            <w:tcW w:type="dxa" w:w="1872"/>
          </w:tcPr>
          <w:p>
            <w:pPr>
              <w:jc w:val="center"/>
            </w:pPr>
            <w:r>
              <w:rPr>
                <w:sz w:val="18"/>
              </w:rPr>
              <w:t>7.4</w:t>
            </w:r>
          </w:p>
        </w:tc>
        <w:tc>
          <w:tcPr>
            <w:tcW w:type="dxa" w:w="1872"/>
          </w:tcPr>
          <w:p>
            <w:pPr>
              <w:jc w:val="center"/>
            </w:pPr>
            <w:r>
              <w:rPr>
                <w:sz w:val="18"/>
              </w:rPr>
              <w:t>36.0</w:t>
            </w:r>
          </w:p>
        </w:tc>
      </w:tr>
      <w:tr>
        <w:tc>
          <w:tcPr>
            <w:tcW w:type="dxa" w:w="1872"/>
          </w:tcPr>
          <w:p>
            <w:pPr>
              <w:jc w:val="center"/>
            </w:pPr>
            <w:r>
              <w:rPr>
                <w:sz w:val="18"/>
              </w:rPr>
              <w:t>Healthy</w:t>
            </w:r>
          </w:p>
        </w:tc>
        <w:tc>
          <w:tcPr>
            <w:tcW w:type="dxa" w:w="1872"/>
          </w:tcPr>
          <w:p>
            <w:pPr>
              <w:jc w:val="center"/>
            </w:pPr>
            <w:r>
              <w:rPr>
                <w:sz w:val="18"/>
              </w:rPr>
              <w:t>Female</w:t>
            </w:r>
          </w:p>
        </w:tc>
        <w:tc>
          <w:tcPr>
            <w:tcW w:type="dxa" w:w="1872"/>
          </w:tcPr>
          <w:p>
            <w:pPr>
              <w:jc w:val="center"/>
            </w:pPr>
            <w:r>
              <w:rPr>
                <w:sz w:val="18"/>
              </w:rPr>
              <w:t>1</w:t>
            </w:r>
          </w:p>
        </w:tc>
        <w:tc>
          <w:tcPr>
            <w:tcW w:type="dxa" w:w="1872"/>
          </w:tcPr>
          <w:p>
            <w:pPr>
              <w:jc w:val="center"/>
            </w:pPr>
            <w:r>
              <w:rPr>
                <w:sz w:val="18"/>
              </w:rPr>
              <w:t>18.8</w:t>
            </w:r>
          </w:p>
        </w:tc>
        <w:tc>
          <w:tcPr>
            <w:tcW w:type="dxa" w:w="1872"/>
          </w:tcPr>
          <w:p>
            <w:pPr>
              <w:jc w:val="center"/>
            </w:pPr>
            <w:r>
              <w:rPr>
                <w:sz w:val="18"/>
              </w:rPr>
              <w:t>68.3</w:t>
            </w:r>
          </w:p>
        </w:tc>
      </w:tr>
      <w:tr>
        <w:tc>
          <w:tcPr>
            <w:tcW w:type="dxa" w:w="1872"/>
          </w:tcPr>
          <w:p>
            <w:pPr>
              <w:jc w:val="center"/>
            </w:pPr>
            <w:r>
              <w:rPr>
                <w:sz w:val="18"/>
              </w:rPr>
              <w:t>Healthy</w:t>
            </w:r>
          </w:p>
        </w:tc>
        <w:tc>
          <w:tcPr>
            <w:tcW w:type="dxa" w:w="1872"/>
          </w:tcPr>
          <w:p>
            <w:pPr>
              <w:jc w:val="center"/>
            </w:pPr>
            <w:r>
              <w:rPr>
                <w:sz w:val="18"/>
              </w:rPr>
              <w:t>Male</w:t>
            </w:r>
          </w:p>
        </w:tc>
        <w:tc>
          <w:tcPr>
            <w:tcW w:type="dxa" w:w="1872"/>
          </w:tcPr>
          <w:p>
            <w:pPr>
              <w:jc w:val="center"/>
            </w:pPr>
            <w:r>
              <w:rPr>
                <w:sz w:val="18"/>
              </w:rPr>
              <w:t>5</w:t>
            </w:r>
          </w:p>
        </w:tc>
        <w:tc>
          <w:tcPr>
            <w:tcW w:type="dxa" w:w="1872"/>
          </w:tcPr>
          <w:p>
            <w:pPr>
              <w:jc w:val="center"/>
            </w:pPr>
            <w:r>
              <w:rPr>
                <w:sz w:val="18"/>
              </w:rPr>
              <w:t>15.1</w:t>
            </w:r>
          </w:p>
        </w:tc>
        <w:tc>
          <w:tcPr>
            <w:tcW w:type="dxa" w:w="1872"/>
          </w:tcPr>
          <w:p>
            <w:pPr>
              <w:jc w:val="center"/>
            </w:pPr>
            <w:r>
              <w:rPr>
                <w:sz w:val="18"/>
              </w:rPr>
              <w:t>49.0</w:t>
            </w:r>
          </w:p>
        </w:tc>
      </w:tr>
    </w:tbl>
    <w:p/>
    <w:p>
      <w:r>
        <w:br w:type="page"/>
      </w:r>
    </w:p>
    <w:p>
      <w:pPr>
        <w:pStyle w:val="Heading2"/>
      </w:pPr>
      <w:r>
        <w:t>5. CDR3 Amino Acid Length Analysis</w:t>
      </w:r>
    </w:p>
    <w:p>
      <w:r>
        <w:t>The CDR3 (Complementarity-Determining Region 3) amino acid length is a key structural feature of antibodies that influences antigen binding specificity. We analyzed the average CDR3 AA length of the top expanded clones (Top 10, Top 100, and Top 1000) to examine whether disease severity is associated with differences in CDR3 length of dominant clones.</w:t>
      </w:r>
    </w:p>
    <w:p>
      <w:pPr>
        <w:pStyle w:val="Heading3"/>
      </w:pPr>
      <w:r>
        <w:t>5.1 CDR3 Length by Disease Category</w:t>
      </w:r>
    </w:p>
    <w:p>
      <w:r>
        <w:t>Figure 24 shows the average CDR3 AA length of the top expanded clones across disease categories. Severe cases exhibited the longest CDR3 lengths in Top 10 clones (median 17.7 AA), while Healthy subjects showed the shortest (median 13.8 AA). This difference was most pronounced in the Top 10 tier and diminished progressively with larger clone sets (Top 100, Top 1000), suggesting that the most expanded clones in severe disease tend to use longer CDR3 regions.</w:t>
      </w:r>
    </w:p>
    <w:p>
      <w:pPr>
        <w:sectPr>
          <w:type w:val="nextPage"/>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144000" cy="6531429"/>
            <wp:docPr id="24" name="Picture 24"/>
            <wp:cNvGraphicFramePr>
              <a:graphicFrameLocks noChangeAspect="1"/>
            </wp:cNvGraphicFramePr>
            <a:graphic>
              <a:graphicData uri="http://schemas.openxmlformats.org/drawingml/2006/picture">
                <pic:pic>
                  <pic:nvPicPr>
                    <pic:cNvPr id="0" name="12_cdr3_length_by_disease.png"/>
                    <pic:cNvPicPr/>
                  </pic:nvPicPr>
                  <pic:blipFill>
                    <a:blip r:embed="rId32"/>
                    <a:stretch>
                      <a:fillRect/>
                    </a:stretch>
                  </pic:blipFill>
                  <pic:spPr>
                    <a:xfrm>
                      <a:off x="0" y="0"/>
                      <a:ext cx="9144000" cy="6531429"/>
                    </a:xfrm>
                    <a:prstGeom prst="rect"/>
                  </pic:spPr>
                </pic:pic>
              </a:graphicData>
            </a:graphic>
          </wp:inline>
        </w:drawing>
      </w:r>
    </w:p>
    <w:p>
      <w:pPr>
        <w:jc w:val="center"/>
      </w:pPr>
      <w:r>
        <w:rPr>
          <w:i/>
          <w:sz w:val="20"/>
        </w:rPr>
        <w:t>Figure 24. Average CDR3 amino acid length per subject for Top 10 (red), Top 100 (orange), and Top 1000 (green) expanded clones, faceted by disease category (columns) and clone tier (rows). Subjects sorted by Top 10 CDR3 length.</w:t>
      </w:r>
    </w:p>
    <w:p/>
    <w:p>
      <w:pPr>
        <w:sectPr>
          <w:type w:val="nextPage"/>
          <w:pgSz w:w="15840" w:h="12240" w:orient="landscape"/>
          <w:pgMar w:top="1440" w:right="720" w:bottom="1440" w:left="720" w:header="720" w:footer="720" w:gutter="0"/>
          <w:cols w:space="720"/>
          <w:docGrid w:linePitch="360"/>
        </w:sectPr>
      </w:pPr>
    </w:p>
    <w:p>
      <w:pPr>
        <w:jc w:val="center"/>
      </w:pPr>
      <w:r>
        <w:rPr>
          <w:b/>
          <w:sz w:val="20"/>
        </w:rPr>
        <w:t>Table 5. Median average CDR3 AA length of top-X clones by disease category.</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Disease Category</w:t>
            </w:r>
          </w:p>
        </w:tc>
        <w:tc>
          <w:tcPr>
            <w:tcW w:type="dxa" w:w="1872"/>
          </w:tcPr>
          <w:p>
            <w:pPr>
              <w:jc w:val="center"/>
            </w:pPr>
            <w:r>
              <w:rPr>
                <w:b/>
                <w:sz w:val="18"/>
              </w:rPr>
              <w:t>n</w:t>
            </w:r>
          </w:p>
        </w:tc>
        <w:tc>
          <w:tcPr>
            <w:tcW w:type="dxa" w:w="1872"/>
          </w:tcPr>
          <w:p>
            <w:pPr>
              <w:jc w:val="center"/>
            </w:pPr>
            <w:r>
              <w:rPr>
                <w:b/>
                <w:sz w:val="18"/>
              </w:rPr>
              <w:t>Top 10 (AA)</w:t>
            </w:r>
          </w:p>
        </w:tc>
        <w:tc>
          <w:tcPr>
            <w:tcW w:type="dxa" w:w="1872"/>
          </w:tcPr>
          <w:p>
            <w:pPr>
              <w:jc w:val="center"/>
            </w:pPr>
            <w:r>
              <w:rPr>
                <w:b/>
                <w:sz w:val="18"/>
              </w:rPr>
              <w:t>Top 100 (AA)</w:t>
            </w:r>
          </w:p>
        </w:tc>
        <w:tc>
          <w:tcPr>
            <w:tcW w:type="dxa" w:w="1872"/>
          </w:tcPr>
          <w:p>
            <w:pPr>
              <w:jc w:val="center"/>
            </w:pPr>
            <w:r>
              <w:rPr>
                <w:b/>
                <w:sz w:val="18"/>
              </w:rPr>
              <w:t>Top 1000 (AA)</w:t>
            </w:r>
          </w:p>
        </w:tc>
      </w:tr>
      <w:tr>
        <w:tc>
          <w:tcPr>
            <w:tcW w:type="dxa" w:w="1872"/>
          </w:tcPr>
          <w:p>
            <w:pPr>
              <w:jc w:val="center"/>
            </w:pPr>
            <w:r>
              <w:rPr>
                <w:sz w:val="18"/>
              </w:rPr>
              <w:t>Severe</w:t>
            </w:r>
          </w:p>
        </w:tc>
        <w:tc>
          <w:tcPr>
            <w:tcW w:type="dxa" w:w="1872"/>
          </w:tcPr>
          <w:p>
            <w:pPr>
              <w:jc w:val="center"/>
            </w:pPr>
            <w:r>
              <w:rPr>
                <w:sz w:val="18"/>
              </w:rPr>
              <w:t>27</w:t>
            </w:r>
          </w:p>
        </w:tc>
        <w:tc>
          <w:tcPr>
            <w:tcW w:type="dxa" w:w="1872"/>
          </w:tcPr>
          <w:p>
            <w:pPr>
              <w:jc w:val="center"/>
            </w:pPr>
            <w:r>
              <w:rPr>
                <w:sz w:val="18"/>
              </w:rPr>
              <w:t>17.7</w:t>
            </w:r>
          </w:p>
        </w:tc>
        <w:tc>
          <w:tcPr>
            <w:tcW w:type="dxa" w:w="1872"/>
          </w:tcPr>
          <w:p>
            <w:pPr>
              <w:jc w:val="center"/>
            </w:pPr>
            <w:r>
              <w:rPr>
                <w:sz w:val="18"/>
              </w:rPr>
              <w:t>17.0</w:t>
            </w:r>
          </w:p>
        </w:tc>
        <w:tc>
          <w:tcPr>
            <w:tcW w:type="dxa" w:w="1872"/>
          </w:tcPr>
          <w:p>
            <w:pPr>
              <w:jc w:val="center"/>
            </w:pPr>
            <w:r>
              <w:rPr>
                <w:sz w:val="18"/>
              </w:rPr>
              <w:t>17.1</w:t>
            </w:r>
          </w:p>
        </w:tc>
      </w:tr>
      <w:tr>
        <w:tc>
          <w:tcPr>
            <w:tcW w:type="dxa" w:w="1872"/>
          </w:tcPr>
          <w:p>
            <w:pPr>
              <w:jc w:val="center"/>
            </w:pPr>
            <w:r>
              <w:rPr>
                <w:sz w:val="18"/>
              </w:rPr>
              <w:t>Mild</w:t>
            </w:r>
          </w:p>
        </w:tc>
        <w:tc>
          <w:tcPr>
            <w:tcW w:type="dxa" w:w="1872"/>
          </w:tcPr>
          <w:p>
            <w:pPr>
              <w:jc w:val="center"/>
            </w:pPr>
            <w:r>
              <w:rPr>
                <w:sz w:val="18"/>
              </w:rPr>
              <w:t>41</w:t>
            </w:r>
          </w:p>
        </w:tc>
        <w:tc>
          <w:tcPr>
            <w:tcW w:type="dxa" w:w="1872"/>
          </w:tcPr>
          <w:p>
            <w:pPr>
              <w:jc w:val="center"/>
            </w:pPr>
            <w:r>
              <w:rPr>
                <w:sz w:val="18"/>
              </w:rPr>
              <w:t>16.3</w:t>
            </w:r>
          </w:p>
        </w:tc>
        <w:tc>
          <w:tcPr>
            <w:tcW w:type="dxa" w:w="1872"/>
          </w:tcPr>
          <w:p>
            <w:pPr>
              <w:jc w:val="center"/>
            </w:pPr>
            <w:r>
              <w:rPr>
                <w:sz w:val="18"/>
              </w:rPr>
              <w:t>16.9</w:t>
            </w:r>
          </w:p>
        </w:tc>
        <w:tc>
          <w:tcPr>
            <w:tcW w:type="dxa" w:w="1872"/>
          </w:tcPr>
          <w:p>
            <w:pPr>
              <w:jc w:val="center"/>
            </w:pPr>
            <w:r>
              <w:rPr>
                <w:sz w:val="18"/>
              </w:rPr>
              <w:t>16.9</w:t>
            </w:r>
          </w:p>
        </w:tc>
      </w:tr>
      <w:tr>
        <w:tc>
          <w:tcPr>
            <w:tcW w:type="dxa" w:w="1872"/>
          </w:tcPr>
          <w:p>
            <w:pPr>
              <w:jc w:val="center"/>
            </w:pPr>
            <w:r>
              <w:rPr>
                <w:sz w:val="18"/>
              </w:rPr>
              <w:t>Moderate</w:t>
            </w:r>
          </w:p>
        </w:tc>
        <w:tc>
          <w:tcPr>
            <w:tcW w:type="dxa" w:w="1872"/>
          </w:tcPr>
          <w:p>
            <w:pPr>
              <w:jc w:val="center"/>
            </w:pPr>
            <w:r>
              <w:rPr>
                <w:sz w:val="18"/>
              </w:rPr>
              <w:t>9</w:t>
            </w:r>
          </w:p>
        </w:tc>
        <w:tc>
          <w:tcPr>
            <w:tcW w:type="dxa" w:w="1872"/>
          </w:tcPr>
          <w:p>
            <w:pPr>
              <w:jc w:val="center"/>
            </w:pPr>
            <w:r>
              <w:rPr>
                <w:sz w:val="18"/>
              </w:rPr>
              <w:t>17.3</w:t>
            </w:r>
          </w:p>
        </w:tc>
        <w:tc>
          <w:tcPr>
            <w:tcW w:type="dxa" w:w="1872"/>
          </w:tcPr>
          <w:p>
            <w:pPr>
              <w:jc w:val="center"/>
            </w:pPr>
            <w:r>
              <w:rPr>
                <w:sz w:val="18"/>
              </w:rPr>
              <w:t>17.2</w:t>
            </w:r>
          </w:p>
        </w:tc>
        <w:tc>
          <w:tcPr>
            <w:tcW w:type="dxa" w:w="1872"/>
          </w:tcPr>
          <w:p>
            <w:pPr>
              <w:jc w:val="center"/>
            </w:pPr>
            <w:r>
              <w:rPr>
                <w:sz w:val="18"/>
              </w:rPr>
              <w:t>17.4</w:t>
            </w:r>
          </w:p>
        </w:tc>
      </w:tr>
      <w:tr>
        <w:tc>
          <w:tcPr>
            <w:tcW w:type="dxa" w:w="1872"/>
          </w:tcPr>
          <w:p>
            <w:pPr>
              <w:jc w:val="center"/>
            </w:pPr>
            <w:r>
              <w:rPr>
                <w:sz w:val="18"/>
              </w:rPr>
              <w:t>Recovered</w:t>
            </w:r>
          </w:p>
        </w:tc>
        <w:tc>
          <w:tcPr>
            <w:tcW w:type="dxa" w:w="1872"/>
          </w:tcPr>
          <w:p>
            <w:pPr>
              <w:jc w:val="center"/>
            </w:pPr>
            <w:r>
              <w:rPr>
                <w:sz w:val="18"/>
              </w:rPr>
              <w:t>12</w:t>
            </w:r>
          </w:p>
        </w:tc>
        <w:tc>
          <w:tcPr>
            <w:tcW w:type="dxa" w:w="1872"/>
          </w:tcPr>
          <w:p>
            <w:pPr>
              <w:jc w:val="center"/>
            </w:pPr>
            <w:r>
              <w:rPr>
                <w:sz w:val="18"/>
              </w:rPr>
              <w:t>16.3</w:t>
            </w:r>
          </w:p>
        </w:tc>
        <w:tc>
          <w:tcPr>
            <w:tcW w:type="dxa" w:w="1872"/>
          </w:tcPr>
          <w:p>
            <w:pPr>
              <w:jc w:val="center"/>
            </w:pPr>
            <w:r>
              <w:rPr>
                <w:sz w:val="18"/>
              </w:rPr>
              <w:t>16.6</w:t>
            </w:r>
          </w:p>
        </w:tc>
        <w:tc>
          <w:tcPr>
            <w:tcW w:type="dxa" w:w="1872"/>
          </w:tcPr>
          <w:p>
            <w:pPr>
              <w:jc w:val="center"/>
            </w:pPr>
            <w:r>
              <w:rPr>
                <w:sz w:val="18"/>
              </w:rPr>
              <w:t>17.0</w:t>
            </w:r>
          </w:p>
        </w:tc>
      </w:tr>
      <w:tr>
        <w:tc>
          <w:tcPr>
            <w:tcW w:type="dxa" w:w="1872"/>
          </w:tcPr>
          <w:p>
            <w:pPr>
              <w:jc w:val="center"/>
            </w:pPr>
            <w:r>
              <w:rPr>
                <w:sz w:val="18"/>
              </w:rPr>
              <w:t>COVID Naive</w:t>
            </w:r>
          </w:p>
        </w:tc>
        <w:tc>
          <w:tcPr>
            <w:tcW w:type="dxa" w:w="1872"/>
          </w:tcPr>
          <w:p>
            <w:pPr>
              <w:jc w:val="center"/>
            </w:pPr>
            <w:r>
              <w:rPr>
                <w:sz w:val="18"/>
              </w:rPr>
              <w:t>8</w:t>
            </w:r>
          </w:p>
        </w:tc>
        <w:tc>
          <w:tcPr>
            <w:tcW w:type="dxa" w:w="1872"/>
          </w:tcPr>
          <w:p>
            <w:pPr>
              <w:jc w:val="center"/>
            </w:pPr>
            <w:r>
              <w:rPr>
                <w:sz w:val="18"/>
              </w:rPr>
              <w:t>15.8</w:t>
            </w:r>
          </w:p>
        </w:tc>
        <w:tc>
          <w:tcPr>
            <w:tcW w:type="dxa" w:w="1872"/>
          </w:tcPr>
          <w:p>
            <w:pPr>
              <w:jc w:val="center"/>
            </w:pPr>
            <w:r>
              <w:rPr>
                <w:sz w:val="18"/>
              </w:rPr>
              <w:t>16.6</w:t>
            </w:r>
          </w:p>
        </w:tc>
        <w:tc>
          <w:tcPr>
            <w:tcW w:type="dxa" w:w="1872"/>
          </w:tcPr>
          <w:p>
            <w:pPr>
              <w:jc w:val="center"/>
            </w:pPr>
            <w:r>
              <w:rPr>
                <w:sz w:val="18"/>
              </w:rPr>
              <w:t>16.9</w:t>
            </w:r>
          </w:p>
        </w:tc>
      </w:tr>
      <w:tr>
        <w:tc>
          <w:tcPr>
            <w:tcW w:type="dxa" w:w="1872"/>
          </w:tcPr>
          <w:p>
            <w:pPr>
              <w:jc w:val="center"/>
            </w:pPr>
            <w:r>
              <w:rPr>
                <w:sz w:val="18"/>
              </w:rPr>
              <w:t>Healthy</w:t>
            </w:r>
          </w:p>
        </w:tc>
        <w:tc>
          <w:tcPr>
            <w:tcW w:type="dxa" w:w="1872"/>
          </w:tcPr>
          <w:p>
            <w:pPr>
              <w:jc w:val="center"/>
            </w:pPr>
            <w:r>
              <w:rPr>
                <w:sz w:val="18"/>
              </w:rPr>
              <w:t>6</w:t>
            </w:r>
          </w:p>
        </w:tc>
        <w:tc>
          <w:tcPr>
            <w:tcW w:type="dxa" w:w="1872"/>
          </w:tcPr>
          <w:p>
            <w:pPr>
              <w:jc w:val="center"/>
            </w:pPr>
            <w:r>
              <w:rPr>
                <w:sz w:val="18"/>
              </w:rPr>
              <w:t>13.8</w:t>
            </w:r>
          </w:p>
        </w:tc>
        <w:tc>
          <w:tcPr>
            <w:tcW w:type="dxa" w:w="1872"/>
          </w:tcPr>
          <w:p>
            <w:pPr>
              <w:jc w:val="center"/>
            </w:pPr>
            <w:r>
              <w:rPr>
                <w:sz w:val="18"/>
              </w:rPr>
              <w:t>14.6</w:t>
            </w:r>
          </w:p>
        </w:tc>
        <w:tc>
          <w:tcPr>
            <w:tcW w:type="dxa" w:w="1872"/>
          </w:tcPr>
          <w:p>
            <w:pPr>
              <w:jc w:val="center"/>
            </w:pPr>
            <w:r>
              <w:rPr>
                <w:sz w:val="18"/>
              </w:rPr>
              <w:t>16.1</w:t>
            </w:r>
          </w:p>
        </w:tc>
      </w:tr>
    </w:tbl>
    <w:p/>
    <w:p>
      <w:pPr>
        <w:pStyle w:val="Heading3"/>
      </w:pPr>
      <w:r>
        <w:t>5.2 CDR3 Length by Age and Disease</w:t>
      </w:r>
    </w:p>
    <w:p>
      <w:r>
        <w:t>Figure 25 shows CDR3 AA length distributions stratified by age group within each disease category.</w:t>
      </w:r>
    </w:p>
    <w:p>
      <w:pPr>
        <w:sectPr>
          <w:type w:val="nextPage"/>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144000" cy="6096000"/>
            <wp:docPr id="25" name="Picture 25"/>
            <wp:cNvGraphicFramePr>
              <a:graphicFrameLocks noChangeAspect="1"/>
            </wp:cNvGraphicFramePr>
            <a:graphic>
              <a:graphicData uri="http://schemas.openxmlformats.org/drawingml/2006/picture">
                <pic:pic>
                  <pic:nvPicPr>
                    <pic:cNvPr id="0" name="13_cdr3_length_by_age_disease.png"/>
                    <pic:cNvPicPr/>
                  </pic:nvPicPr>
                  <pic:blipFill>
                    <a:blip r:embed="rId33"/>
                    <a:stretch>
                      <a:fillRect/>
                    </a:stretch>
                  </pic:blipFill>
                  <pic:spPr>
                    <a:xfrm>
                      <a:off x="0" y="0"/>
                      <a:ext cx="9144000" cy="6096000"/>
                    </a:xfrm>
                    <a:prstGeom prst="rect"/>
                  </pic:spPr>
                </pic:pic>
              </a:graphicData>
            </a:graphic>
          </wp:inline>
        </w:drawing>
      </w:r>
    </w:p>
    <w:p>
      <w:pPr>
        <w:jc w:val="center"/>
      </w:pPr>
      <w:r>
        <w:rPr>
          <w:i/>
          <w:sz w:val="20"/>
        </w:rPr>
        <w:t>Figure 25. Average CDR3 AA length per subject, faceted by disease category, age group (columns), and clone tier (rows).</w:t>
      </w:r>
    </w:p>
    <w:p/>
    <w:p>
      <w:pPr>
        <w:sectPr>
          <w:type w:val="nextPage"/>
          <w:pgSz w:w="15840" w:h="12240" w:orient="landscape"/>
          <w:pgMar w:top="1440" w:right="720" w:bottom="1440" w:left="720" w:header="720" w:footer="720" w:gutter="0"/>
          <w:cols w:space="720"/>
          <w:docGrid w:linePitch="360"/>
        </w:sectPr>
      </w:pPr>
    </w:p>
    <w:p>
      <w:pPr>
        <w:pStyle w:val="Heading3"/>
      </w:pPr>
      <w:r>
        <w:t>5.3 CDR3 Length by Sex and Disease</w:t>
      </w:r>
    </w:p>
    <w:p>
      <w:r>
        <w:t>Figure 26 presents CDR3 AA length distributions by sex within each disease category.</w:t>
      </w:r>
    </w:p>
    <w:p>
      <w:pPr>
        <w:sectPr>
          <w:type w:val="nextPage"/>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144000" cy="6858000"/>
            <wp:docPr id="26" name="Picture 26"/>
            <wp:cNvGraphicFramePr>
              <a:graphicFrameLocks noChangeAspect="1"/>
            </wp:cNvGraphicFramePr>
            <a:graphic>
              <a:graphicData uri="http://schemas.openxmlformats.org/drawingml/2006/picture">
                <pic:pic>
                  <pic:nvPicPr>
                    <pic:cNvPr id="0" name="14_cdr3_length_by_sex_disease.png"/>
                    <pic:cNvPicPr/>
                  </pic:nvPicPr>
                  <pic:blipFill>
                    <a:blip r:embed="rId34"/>
                    <a:stretch>
                      <a:fillRect/>
                    </a:stretch>
                  </pic:blipFill>
                  <pic:spPr>
                    <a:xfrm>
                      <a:off x="0" y="0"/>
                      <a:ext cx="9144000" cy="6858000"/>
                    </a:xfrm>
                    <a:prstGeom prst="rect"/>
                  </pic:spPr>
                </pic:pic>
              </a:graphicData>
            </a:graphic>
          </wp:inline>
        </w:drawing>
      </w:r>
    </w:p>
    <w:p>
      <w:pPr>
        <w:jc w:val="center"/>
      </w:pPr>
      <w:r>
        <w:rPr>
          <w:i/>
          <w:sz w:val="20"/>
        </w:rPr>
        <w:t>Figure 26. Average CDR3 AA length per subject, faceted by disease category, sex (columns), and clone tier (rows).</w:t>
      </w:r>
    </w:p>
    <w:p/>
    <w:p>
      <w:pPr>
        <w:sectPr>
          <w:type w:val="nextPage"/>
          <w:pgSz w:w="15840" w:h="12240" w:orient="landscape"/>
          <w:pgMar w:top="1440" w:right="720" w:bottom="1440" w:left="720" w:header="720" w:footer="720" w:gutter="0"/>
          <w:cols w:space="720"/>
          <w:docGrid w:linePitch="360"/>
        </w:sectPr>
      </w:pPr>
    </w:p>
    <w:p>
      <w:pPr>
        <w:jc w:val="center"/>
      </w:pPr>
      <w:r>
        <w:rPr>
          <w:b/>
          <w:sz w:val="20"/>
        </w:rPr>
        <w:t>Table 6. Median CDR3 AA length by disease category and sex.</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Disease Category</w:t>
            </w:r>
          </w:p>
        </w:tc>
        <w:tc>
          <w:tcPr>
            <w:tcW w:type="dxa" w:w="1872"/>
          </w:tcPr>
          <w:p>
            <w:pPr>
              <w:jc w:val="center"/>
            </w:pPr>
            <w:r>
              <w:rPr>
                <w:b/>
                <w:sz w:val="18"/>
              </w:rPr>
              <w:t>Sex</w:t>
            </w:r>
          </w:p>
        </w:tc>
        <w:tc>
          <w:tcPr>
            <w:tcW w:type="dxa" w:w="1872"/>
          </w:tcPr>
          <w:p>
            <w:pPr>
              <w:jc w:val="center"/>
            </w:pPr>
            <w:r>
              <w:rPr>
                <w:b/>
                <w:sz w:val="18"/>
              </w:rPr>
              <w:t>n</w:t>
            </w:r>
          </w:p>
        </w:tc>
        <w:tc>
          <w:tcPr>
            <w:tcW w:type="dxa" w:w="1872"/>
          </w:tcPr>
          <w:p>
            <w:pPr>
              <w:jc w:val="center"/>
            </w:pPr>
            <w:r>
              <w:rPr>
                <w:b/>
                <w:sz w:val="18"/>
              </w:rPr>
              <w:t>Top 10 (AA)</w:t>
            </w:r>
          </w:p>
        </w:tc>
        <w:tc>
          <w:tcPr>
            <w:tcW w:type="dxa" w:w="1872"/>
          </w:tcPr>
          <w:p>
            <w:pPr>
              <w:jc w:val="center"/>
            </w:pPr>
            <w:r>
              <w:rPr>
                <w:b/>
                <w:sz w:val="18"/>
              </w:rPr>
              <w:t>Top 100 (AA)</w:t>
            </w:r>
          </w:p>
        </w:tc>
      </w:tr>
      <w:tr>
        <w:tc>
          <w:tcPr>
            <w:tcW w:type="dxa" w:w="1872"/>
          </w:tcPr>
          <w:p>
            <w:pPr>
              <w:jc w:val="center"/>
            </w:pPr>
            <w:r>
              <w:rPr>
                <w:sz w:val="18"/>
              </w:rPr>
              <w:t>Severe</w:t>
            </w:r>
          </w:p>
        </w:tc>
        <w:tc>
          <w:tcPr>
            <w:tcW w:type="dxa" w:w="1872"/>
          </w:tcPr>
          <w:p>
            <w:pPr>
              <w:jc w:val="center"/>
            </w:pPr>
            <w:r>
              <w:rPr>
                <w:sz w:val="18"/>
              </w:rPr>
              <w:t>Female</w:t>
            </w:r>
          </w:p>
        </w:tc>
        <w:tc>
          <w:tcPr>
            <w:tcW w:type="dxa" w:w="1872"/>
          </w:tcPr>
          <w:p>
            <w:pPr>
              <w:jc w:val="center"/>
            </w:pPr>
            <w:r>
              <w:rPr>
                <w:sz w:val="18"/>
              </w:rPr>
              <w:t>5</w:t>
            </w:r>
          </w:p>
        </w:tc>
        <w:tc>
          <w:tcPr>
            <w:tcW w:type="dxa" w:w="1872"/>
          </w:tcPr>
          <w:p>
            <w:pPr>
              <w:jc w:val="center"/>
            </w:pPr>
            <w:r>
              <w:rPr>
                <w:sz w:val="18"/>
              </w:rPr>
              <w:t>17.5</w:t>
            </w:r>
          </w:p>
        </w:tc>
        <w:tc>
          <w:tcPr>
            <w:tcW w:type="dxa" w:w="1872"/>
          </w:tcPr>
          <w:p>
            <w:pPr>
              <w:jc w:val="center"/>
            </w:pPr>
            <w:r>
              <w:rPr>
                <w:sz w:val="18"/>
              </w:rPr>
              <w:t>16.8</w:t>
            </w:r>
          </w:p>
        </w:tc>
      </w:tr>
      <w:tr>
        <w:tc>
          <w:tcPr>
            <w:tcW w:type="dxa" w:w="1872"/>
          </w:tcPr>
          <w:p>
            <w:pPr>
              <w:jc w:val="center"/>
            </w:pPr>
            <w:r>
              <w:rPr>
                <w:sz w:val="18"/>
              </w:rPr>
              <w:t>Severe</w:t>
            </w:r>
          </w:p>
        </w:tc>
        <w:tc>
          <w:tcPr>
            <w:tcW w:type="dxa" w:w="1872"/>
          </w:tcPr>
          <w:p>
            <w:pPr>
              <w:jc w:val="center"/>
            </w:pPr>
            <w:r>
              <w:rPr>
                <w:sz w:val="18"/>
              </w:rPr>
              <w:t>Male</w:t>
            </w:r>
          </w:p>
        </w:tc>
        <w:tc>
          <w:tcPr>
            <w:tcW w:type="dxa" w:w="1872"/>
          </w:tcPr>
          <w:p>
            <w:pPr>
              <w:jc w:val="center"/>
            </w:pPr>
            <w:r>
              <w:rPr>
                <w:sz w:val="18"/>
              </w:rPr>
              <w:t>14</w:t>
            </w:r>
          </w:p>
        </w:tc>
        <w:tc>
          <w:tcPr>
            <w:tcW w:type="dxa" w:w="1872"/>
          </w:tcPr>
          <w:p>
            <w:pPr>
              <w:jc w:val="center"/>
            </w:pPr>
            <w:r>
              <w:rPr>
                <w:sz w:val="18"/>
              </w:rPr>
              <w:t>17.8</w:t>
            </w:r>
          </w:p>
        </w:tc>
        <w:tc>
          <w:tcPr>
            <w:tcW w:type="dxa" w:w="1872"/>
          </w:tcPr>
          <w:p>
            <w:pPr>
              <w:jc w:val="center"/>
            </w:pPr>
            <w:r>
              <w:rPr>
                <w:sz w:val="18"/>
              </w:rPr>
              <w:t>17.5</w:t>
            </w:r>
          </w:p>
        </w:tc>
      </w:tr>
      <w:tr>
        <w:tc>
          <w:tcPr>
            <w:tcW w:type="dxa" w:w="1872"/>
          </w:tcPr>
          <w:p>
            <w:pPr>
              <w:jc w:val="center"/>
            </w:pPr>
            <w:r>
              <w:rPr>
                <w:sz w:val="18"/>
              </w:rPr>
              <w:t>Mild</w:t>
            </w:r>
          </w:p>
        </w:tc>
        <w:tc>
          <w:tcPr>
            <w:tcW w:type="dxa" w:w="1872"/>
          </w:tcPr>
          <w:p>
            <w:pPr>
              <w:jc w:val="center"/>
            </w:pPr>
            <w:r>
              <w:rPr>
                <w:sz w:val="18"/>
              </w:rPr>
              <w:t>Female</w:t>
            </w:r>
          </w:p>
        </w:tc>
        <w:tc>
          <w:tcPr>
            <w:tcW w:type="dxa" w:w="1872"/>
          </w:tcPr>
          <w:p>
            <w:pPr>
              <w:jc w:val="center"/>
            </w:pPr>
            <w:r>
              <w:rPr>
                <w:sz w:val="18"/>
              </w:rPr>
              <w:t>19</w:t>
            </w:r>
          </w:p>
        </w:tc>
        <w:tc>
          <w:tcPr>
            <w:tcW w:type="dxa" w:w="1872"/>
          </w:tcPr>
          <w:p>
            <w:pPr>
              <w:jc w:val="center"/>
            </w:pPr>
            <w:r>
              <w:rPr>
                <w:sz w:val="18"/>
              </w:rPr>
              <w:t>16.3</w:t>
            </w:r>
          </w:p>
        </w:tc>
        <w:tc>
          <w:tcPr>
            <w:tcW w:type="dxa" w:w="1872"/>
          </w:tcPr>
          <w:p>
            <w:pPr>
              <w:jc w:val="center"/>
            </w:pPr>
            <w:r>
              <w:rPr>
                <w:sz w:val="18"/>
              </w:rPr>
              <w:t>16.9</w:t>
            </w:r>
          </w:p>
        </w:tc>
      </w:tr>
      <w:tr>
        <w:tc>
          <w:tcPr>
            <w:tcW w:type="dxa" w:w="1872"/>
          </w:tcPr>
          <w:p>
            <w:pPr>
              <w:jc w:val="center"/>
            </w:pPr>
            <w:r>
              <w:rPr>
                <w:sz w:val="18"/>
              </w:rPr>
              <w:t>Mild</w:t>
            </w:r>
          </w:p>
        </w:tc>
        <w:tc>
          <w:tcPr>
            <w:tcW w:type="dxa" w:w="1872"/>
          </w:tcPr>
          <w:p>
            <w:pPr>
              <w:jc w:val="center"/>
            </w:pPr>
            <w:r>
              <w:rPr>
                <w:sz w:val="18"/>
              </w:rPr>
              <w:t>Male</w:t>
            </w:r>
          </w:p>
        </w:tc>
        <w:tc>
          <w:tcPr>
            <w:tcW w:type="dxa" w:w="1872"/>
          </w:tcPr>
          <w:p>
            <w:pPr>
              <w:jc w:val="center"/>
            </w:pPr>
            <w:r>
              <w:rPr>
                <w:sz w:val="18"/>
              </w:rPr>
              <w:t>19</w:t>
            </w:r>
          </w:p>
        </w:tc>
        <w:tc>
          <w:tcPr>
            <w:tcW w:type="dxa" w:w="1872"/>
          </w:tcPr>
          <w:p>
            <w:pPr>
              <w:jc w:val="center"/>
            </w:pPr>
            <w:r>
              <w:rPr>
                <w:sz w:val="18"/>
              </w:rPr>
              <w:t>16.5</w:t>
            </w:r>
          </w:p>
        </w:tc>
        <w:tc>
          <w:tcPr>
            <w:tcW w:type="dxa" w:w="1872"/>
          </w:tcPr>
          <w:p>
            <w:pPr>
              <w:jc w:val="center"/>
            </w:pPr>
            <w:r>
              <w:rPr>
                <w:sz w:val="18"/>
              </w:rPr>
              <w:t>16.9</w:t>
            </w:r>
          </w:p>
        </w:tc>
      </w:tr>
      <w:tr>
        <w:tc>
          <w:tcPr>
            <w:tcW w:type="dxa" w:w="1872"/>
          </w:tcPr>
          <w:p>
            <w:pPr>
              <w:jc w:val="center"/>
            </w:pPr>
            <w:r>
              <w:rPr>
                <w:sz w:val="18"/>
              </w:rPr>
              <w:t>Moderate</w:t>
            </w:r>
          </w:p>
        </w:tc>
        <w:tc>
          <w:tcPr>
            <w:tcW w:type="dxa" w:w="1872"/>
          </w:tcPr>
          <w:p>
            <w:pPr>
              <w:jc w:val="center"/>
            </w:pPr>
            <w:r>
              <w:rPr>
                <w:sz w:val="18"/>
              </w:rPr>
              <w:t>Female</w:t>
            </w:r>
          </w:p>
        </w:tc>
        <w:tc>
          <w:tcPr>
            <w:tcW w:type="dxa" w:w="1872"/>
          </w:tcPr>
          <w:p>
            <w:pPr>
              <w:jc w:val="center"/>
            </w:pPr>
            <w:r>
              <w:rPr>
                <w:sz w:val="18"/>
              </w:rPr>
              <w:t>3</w:t>
            </w:r>
          </w:p>
        </w:tc>
        <w:tc>
          <w:tcPr>
            <w:tcW w:type="dxa" w:w="1872"/>
          </w:tcPr>
          <w:p>
            <w:pPr>
              <w:jc w:val="center"/>
            </w:pPr>
            <w:r>
              <w:rPr>
                <w:sz w:val="18"/>
              </w:rPr>
              <w:t>17.8</w:t>
            </w:r>
          </w:p>
        </w:tc>
        <w:tc>
          <w:tcPr>
            <w:tcW w:type="dxa" w:w="1872"/>
          </w:tcPr>
          <w:p>
            <w:pPr>
              <w:jc w:val="center"/>
            </w:pPr>
            <w:r>
              <w:rPr>
                <w:sz w:val="18"/>
              </w:rPr>
              <w:t>17.4</w:t>
            </w:r>
          </w:p>
        </w:tc>
      </w:tr>
      <w:tr>
        <w:tc>
          <w:tcPr>
            <w:tcW w:type="dxa" w:w="1872"/>
          </w:tcPr>
          <w:p>
            <w:pPr>
              <w:jc w:val="center"/>
            </w:pPr>
            <w:r>
              <w:rPr>
                <w:sz w:val="18"/>
              </w:rPr>
              <w:t>Moderate</w:t>
            </w:r>
          </w:p>
        </w:tc>
        <w:tc>
          <w:tcPr>
            <w:tcW w:type="dxa" w:w="1872"/>
          </w:tcPr>
          <w:p>
            <w:pPr>
              <w:jc w:val="center"/>
            </w:pPr>
            <w:r>
              <w:rPr>
                <w:sz w:val="18"/>
              </w:rPr>
              <w:t>Male</w:t>
            </w:r>
          </w:p>
        </w:tc>
        <w:tc>
          <w:tcPr>
            <w:tcW w:type="dxa" w:w="1872"/>
          </w:tcPr>
          <w:p>
            <w:pPr>
              <w:jc w:val="center"/>
            </w:pPr>
            <w:r>
              <w:rPr>
                <w:sz w:val="18"/>
              </w:rPr>
              <w:t>6</w:t>
            </w:r>
          </w:p>
        </w:tc>
        <w:tc>
          <w:tcPr>
            <w:tcW w:type="dxa" w:w="1872"/>
          </w:tcPr>
          <w:p>
            <w:pPr>
              <w:jc w:val="center"/>
            </w:pPr>
            <w:r>
              <w:rPr>
                <w:sz w:val="18"/>
              </w:rPr>
              <w:t>17.0</w:t>
            </w:r>
          </w:p>
        </w:tc>
        <w:tc>
          <w:tcPr>
            <w:tcW w:type="dxa" w:w="1872"/>
          </w:tcPr>
          <w:p>
            <w:pPr>
              <w:jc w:val="center"/>
            </w:pPr>
            <w:r>
              <w:rPr>
                <w:sz w:val="18"/>
              </w:rPr>
              <w:t>17.2</w:t>
            </w:r>
          </w:p>
        </w:tc>
      </w:tr>
      <w:tr>
        <w:tc>
          <w:tcPr>
            <w:tcW w:type="dxa" w:w="1872"/>
          </w:tcPr>
          <w:p>
            <w:pPr>
              <w:jc w:val="center"/>
            </w:pPr>
            <w:r>
              <w:rPr>
                <w:sz w:val="18"/>
              </w:rPr>
              <w:t>Recovered</w:t>
            </w:r>
          </w:p>
        </w:tc>
        <w:tc>
          <w:tcPr>
            <w:tcW w:type="dxa" w:w="1872"/>
          </w:tcPr>
          <w:p>
            <w:pPr>
              <w:jc w:val="center"/>
            </w:pPr>
            <w:r>
              <w:rPr>
                <w:sz w:val="18"/>
              </w:rPr>
              <w:t>Female</w:t>
            </w:r>
          </w:p>
        </w:tc>
        <w:tc>
          <w:tcPr>
            <w:tcW w:type="dxa" w:w="1872"/>
          </w:tcPr>
          <w:p>
            <w:pPr>
              <w:jc w:val="center"/>
            </w:pPr>
            <w:r>
              <w:rPr>
                <w:sz w:val="18"/>
              </w:rPr>
              <w:t>3</w:t>
            </w:r>
          </w:p>
        </w:tc>
        <w:tc>
          <w:tcPr>
            <w:tcW w:type="dxa" w:w="1872"/>
          </w:tcPr>
          <w:p>
            <w:pPr>
              <w:jc w:val="center"/>
            </w:pPr>
            <w:r>
              <w:rPr>
                <w:sz w:val="18"/>
              </w:rPr>
              <w:t>15.1</w:t>
            </w:r>
          </w:p>
        </w:tc>
        <w:tc>
          <w:tcPr>
            <w:tcW w:type="dxa" w:w="1872"/>
          </w:tcPr>
          <w:p>
            <w:pPr>
              <w:jc w:val="center"/>
            </w:pPr>
            <w:r>
              <w:rPr>
                <w:sz w:val="18"/>
              </w:rPr>
              <w:t>16.5</w:t>
            </w:r>
          </w:p>
        </w:tc>
      </w:tr>
      <w:tr>
        <w:tc>
          <w:tcPr>
            <w:tcW w:type="dxa" w:w="1872"/>
          </w:tcPr>
          <w:p>
            <w:pPr>
              <w:jc w:val="center"/>
            </w:pPr>
            <w:r>
              <w:rPr>
                <w:sz w:val="18"/>
              </w:rPr>
              <w:t>Recovered</w:t>
            </w:r>
          </w:p>
        </w:tc>
        <w:tc>
          <w:tcPr>
            <w:tcW w:type="dxa" w:w="1872"/>
          </w:tcPr>
          <w:p>
            <w:pPr>
              <w:jc w:val="center"/>
            </w:pPr>
            <w:r>
              <w:rPr>
                <w:sz w:val="18"/>
              </w:rPr>
              <w:t>Male</w:t>
            </w:r>
          </w:p>
        </w:tc>
        <w:tc>
          <w:tcPr>
            <w:tcW w:type="dxa" w:w="1872"/>
          </w:tcPr>
          <w:p>
            <w:pPr>
              <w:jc w:val="center"/>
            </w:pPr>
            <w:r>
              <w:rPr>
                <w:sz w:val="18"/>
              </w:rPr>
              <w:t>9</w:t>
            </w:r>
          </w:p>
        </w:tc>
        <w:tc>
          <w:tcPr>
            <w:tcW w:type="dxa" w:w="1872"/>
          </w:tcPr>
          <w:p>
            <w:pPr>
              <w:jc w:val="center"/>
            </w:pPr>
            <w:r>
              <w:rPr>
                <w:sz w:val="18"/>
              </w:rPr>
              <w:t>17.2</w:t>
            </w:r>
          </w:p>
        </w:tc>
        <w:tc>
          <w:tcPr>
            <w:tcW w:type="dxa" w:w="1872"/>
          </w:tcPr>
          <w:p>
            <w:pPr>
              <w:jc w:val="center"/>
            </w:pPr>
            <w:r>
              <w:rPr>
                <w:sz w:val="18"/>
              </w:rPr>
              <w:t>16.7</w:t>
            </w:r>
          </w:p>
        </w:tc>
      </w:tr>
      <w:tr>
        <w:tc>
          <w:tcPr>
            <w:tcW w:type="dxa" w:w="1872"/>
          </w:tcPr>
          <w:p>
            <w:pPr>
              <w:jc w:val="center"/>
            </w:pPr>
            <w:r>
              <w:rPr>
                <w:sz w:val="18"/>
              </w:rPr>
              <w:t>COVID Naive</w:t>
            </w:r>
          </w:p>
        </w:tc>
        <w:tc>
          <w:tcPr>
            <w:tcW w:type="dxa" w:w="1872"/>
          </w:tcPr>
          <w:p>
            <w:pPr>
              <w:jc w:val="center"/>
            </w:pPr>
            <w:r>
              <w:rPr>
                <w:sz w:val="18"/>
              </w:rPr>
              <w:t>Female</w:t>
            </w:r>
          </w:p>
        </w:tc>
        <w:tc>
          <w:tcPr>
            <w:tcW w:type="dxa" w:w="1872"/>
          </w:tcPr>
          <w:p>
            <w:pPr>
              <w:jc w:val="center"/>
            </w:pPr>
            <w:r>
              <w:rPr>
                <w:sz w:val="18"/>
              </w:rPr>
              <w:t>4</w:t>
            </w:r>
          </w:p>
        </w:tc>
        <w:tc>
          <w:tcPr>
            <w:tcW w:type="dxa" w:w="1872"/>
          </w:tcPr>
          <w:p>
            <w:pPr>
              <w:jc w:val="center"/>
            </w:pPr>
            <w:r>
              <w:rPr>
                <w:sz w:val="18"/>
              </w:rPr>
              <w:t>17.2</w:t>
            </w:r>
          </w:p>
        </w:tc>
        <w:tc>
          <w:tcPr>
            <w:tcW w:type="dxa" w:w="1872"/>
          </w:tcPr>
          <w:p>
            <w:pPr>
              <w:jc w:val="center"/>
            </w:pPr>
            <w:r>
              <w:rPr>
                <w:sz w:val="18"/>
              </w:rPr>
              <w:t>16.7</w:t>
            </w:r>
          </w:p>
        </w:tc>
      </w:tr>
      <w:tr>
        <w:tc>
          <w:tcPr>
            <w:tcW w:type="dxa" w:w="1872"/>
          </w:tcPr>
          <w:p>
            <w:pPr>
              <w:jc w:val="center"/>
            </w:pPr>
            <w:r>
              <w:rPr>
                <w:sz w:val="18"/>
              </w:rPr>
              <w:t>COVID Naive</w:t>
            </w:r>
          </w:p>
        </w:tc>
        <w:tc>
          <w:tcPr>
            <w:tcW w:type="dxa" w:w="1872"/>
          </w:tcPr>
          <w:p>
            <w:pPr>
              <w:jc w:val="center"/>
            </w:pPr>
            <w:r>
              <w:rPr>
                <w:sz w:val="18"/>
              </w:rPr>
              <w:t>Male</w:t>
            </w:r>
          </w:p>
        </w:tc>
        <w:tc>
          <w:tcPr>
            <w:tcW w:type="dxa" w:w="1872"/>
          </w:tcPr>
          <w:p>
            <w:pPr>
              <w:jc w:val="center"/>
            </w:pPr>
            <w:r>
              <w:rPr>
                <w:sz w:val="18"/>
              </w:rPr>
              <w:t>4</w:t>
            </w:r>
          </w:p>
        </w:tc>
        <w:tc>
          <w:tcPr>
            <w:tcW w:type="dxa" w:w="1872"/>
          </w:tcPr>
          <w:p>
            <w:pPr>
              <w:jc w:val="center"/>
            </w:pPr>
            <w:r>
              <w:rPr>
                <w:sz w:val="18"/>
              </w:rPr>
              <w:t>14.6</w:t>
            </w:r>
          </w:p>
        </w:tc>
        <w:tc>
          <w:tcPr>
            <w:tcW w:type="dxa" w:w="1872"/>
          </w:tcPr>
          <w:p>
            <w:pPr>
              <w:jc w:val="center"/>
            </w:pPr>
            <w:r>
              <w:rPr>
                <w:sz w:val="18"/>
              </w:rPr>
              <w:t>16.5</w:t>
            </w:r>
          </w:p>
        </w:tc>
      </w:tr>
      <w:tr>
        <w:tc>
          <w:tcPr>
            <w:tcW w:type="dxa" w:w="1872"/>
          </w:tcPr>
          <w:p>
            <w:pPr>
              <w:jc w:val="center"/>
            </w:pPr>
            <w:r>
              <w:rPr>
                <w:sz w:val="18"/>
              </w:rPr>
              <w:t>Healthy</w:t>
            </w:r>
          </w:p>
        </w:tc>
        <w:tc>
          <w:tcPr>
            <w:tcW w:type="dxa" w:w="1872"/>
          </w:tcPr>
          <w:p>
            <w:pPr>
              <w:jc w:val="center"/>
            </w:pPr>
            <w:r>
              <w:rPr>
                <w:sz w:val="18"/>
              </w:rPr>
              <w:t>Female</w:t>
            </w:r>
          </w:p>
        </w:tc>
        <w:tc>
          <w:tcPr>
            <w:tcW w:type="dxa" w:w="1872"/>
          </w:tcPr>
          <w:p>
            <w:pPr>
              <w:jc w:val="center"/>
            </w:pPr>
            <w:r>
              <w:rPr>
                <w:sz w:val="18"/>
              </w:rPr>
              <w:t>1</w:t>
            </w:r>
          </w:p>
        </w:tc>
        <w:tc>
          <w:tcPr>
            <w:tcW w:type="dxa" w:w="1872"/>
          </w:tcPr>
          <w:p>
            <w:pPr>
              <w:jc w:val="center"/>
            </w:pPr>
            <w:r>
              <w:rPr>
                <w:sz w:val="18"/>
              </w:rPr>
              <w:t>12.8</w:t>
            </w:r>
          </w:p>
        </w:tc>
        <w:tc>
          <w:tcPr>
            <w:tcW w:type="dxa" w:w="1872"/>
          </w:tcPr>
          <w:p>
            <w:pPr>
              <w:jc w:val="center"/>
            </w:pPr>
            <w:r>
              <w:rPr>
                <w:sz w:val="18"/>
              </w:rPr>
              <w:t>14.0</w:t>
            </w:r>
          </w:p>
        </w:tc>
      </w:tr>
      <w:tr>
        <w:tc>
          <w:tcPr>
            <w:tcW w:type="dxa" w:w="1872"/>
          </w:tcPr>
          <w:p>
            <w:pPr>
              <w:jc w:val="center"/>
            </w:pPr>
            <w:r>
              <w:rPr>
                <w:sz w:val="18"/>
              </w:rPr>
              <w:t>Healthy</w:t>
            </w:r>
          </w:p>
        </w:tc>
        <w:tc>
          <w:tcPr>
            <w:tcW w:type="dxa" w:w="1872"/>
          </w:tcPr>
          <w:p>
            <w:pPr>
              <w:jc w:val="center"/>
            </w:pPr>
            <w:r>
              <w:rPr>
                <w:sz w:val="18"/>
              </w:rPr>
              <w:t>Male</w:t>
            </w:r>
          </w:p>
        </w:tc>
        <w:tc>
          <w:tcPr>
            <w:tcW w:type="dxa" w:w="1872"/>
          </w:tcPr>
          <w:p>
            <w:pPr>
              <w:jc w:val="center"/>
            </w:pPr>
            <w:r>
              <w:rPr>
                <w:sz w:val="18"/>
              </w:rPr>
              <w:t>5</w:t>
            </w:r>
          </w:p>
        </w:tc>
        <w:tc>
          <w:tcPr>
            <w:tcW w:type="dxa" w:w="1872"/>
          </w:tcPr>
          <w:p>
            <w:pPr>
              <w:jc w:val="center"/>
            </w:pPr>
            <w:r>
              <w:rPr>
                <w:sz w:val="18"/>
              </w:rPr>
              <w:t>14.5</w:t>
            </w:r>
          </w:p>
        </w:tc>
        <w:tc>
          <w:tcPr>
            <w:tcW w:type="dxa" w:w="1872"/>
          </w:tcPr>
          <w:p>
            <w:pPr>
              <w:jc w:val="center"/>
            </w:pPr>
            <w:r>
              <w:rPr>
                <w:sz w:val="18"/>
              </w:rPr>
              <w:t>14.9</w:t>
            </w:r>
          </w:p>
        </w:tc>
      </w:tr>
    </w:tbl>
    <w:p/>
    <w:sectPr w:rsidR="00FC693F" w:rsidRPr="0006063C" w:rsidSect="00034616">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