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pStyle w:val="Title"/>
        <w:jc w:val="center"/>
      </w:pPr>
      <w:r>
        <w:t>Immune Repertoire Analysis</w:t>
      </w:r>
    </w:p>
    <w:p>
      <w:pPr>
        <w:pStyle w:val="Heading1"/>
        <w:jc w:val="center"/>
      </w:pPr>
      <w:r>
        <w:rPr>
          <w:color w:val="555555"/>
        </w:rPr>
        <w:t>Results Document</w:t>
      </w:r>
    </w:p>
    <w:p>
      <w:pPr>
        <w:jc w:val="center"/>
      </w:pPr>
      <w:r>
        <w:rPr>
          <w:b/>
        </w:rPr>
        <w:br/>
        <w:t xml:space="preserve">Date: </w:t>
      </w:r>
      <w:r>
        <w:t>June 14, 2026</w:t>
        <w:br/>
      </w:r>
      <w:r>
        <w:rPr>
          <w:b/>
        </w:rPr>
        <w:t xml:space="preserve">Data Source: </w:t>
      </w:r>
      <w:r>
        <w:t>iReceptor AIRR-seq Data Commons (COVID-19 studies)</w:t>
        <w:br/>
      </w:r>
      <w:r>
        <w:rPr>
          <w:b/>
        </w:rPr>
        <w:t xml:space="preserve">Total Repertoires: </w:t>
      </w:r>
      <w:r>
        <w:t>100 (85 with complete metadata)</w:t>
      </w:r>
    </w:p>
    <w:p>
      <w:r>
        <w:br w:type="page"/>
      </w:r>
    </w:p>
    <w:p>
      <w:pPr>
        <w:pStyle w:val="Heading1"/>
      </w:pPr>
      <w:r>
        <w:rPr>
          <w:color w:val="1A3C6E"/>
        </w:rPr>
        <w:t>Table of Contents</w:t>
      </w:r>
    </w:p>
    <w:p>
      <w:pPr>
        <w:spacing w:after="40" w:before="40"/>
      </w:pPr>
      <w:r>
        <w:t>1. Cohort Description &amp; Metadata Overview</w:t>
      </w:r>
    </w:p>
    <w:p>
      <w:pPr>
        <w:spacing w:after="40" w:before="40"/>
      </w:pPr>
      <w:r>
        <w:t xml:space="preserve">   1.1 Data Source &amp; Study Composition</w:t>
      </w:r>
    </w:p>
    <w:p>
      <w:pPr>
        <w:spacing w:after="40" w:before="40"/>
      </w:pPr>
      <w:r>
        <w:t xml:space="preserve">   1.2 Disease Category Distribution</w:t>
      </w:r>
    </w:p>
    <w:p>
      <w:pPr>
        <w:spacing w:after="40" w:before="40"/>
      </w:pPr>
      <w:r>
        <w:t xml:space="preserve">   1.3 Sex Distribution</w:t>
      </w:r>
    </w:p>
    <w:p>
      <w:pPr>
        <w:spacing w:after="40" w:before="40"/>
      </w:pPr>
      <w:r>
        <w:t xml:space="preserve">   1.4 Age Distribution</w:t>
      </w:r>
    </w:p>
    <w:p>
      <w:pPr>
        <w:spacing w:after="40" w:before="40"/>
      </w:pPr>
      <w:r>
        <w:t xml:space="preserve">   1.5 Cross-Stratification: Disease x Sex</w:t>
      </w:r>
    </w:p>
    <w:p>
      <w:pPr>
        <w:spacing w:after="40" w:before="40"/>
      </w:pPr>
      <w:r>
        <w:t xml:space="preserve">   1.6 Cross-Stratification: Disease x Age</w:t>
      </w:r>
    </w:p>
    <w:p>
      <w:pPr>
        <w:spacing w:after="40" w:before="40"/>
      </w:pPr>
      <w:r>
        <w:t xml:space="preserve">   1.7 Study x Disease Composition</w:t>
      </w:r>
    </w:p>
    <w:p>
      <w:pPr>
        <w:spacing w:after="40" w:before="40"/>
      </w:pPr>
      <w:r>
        <w:t xml:space="preserve">   1.8 Heatmap: Disease x Age x Sex</w:t>
      </w:r>
    </w:p>
    <w:p>
      <w:pPr>
        <w:spacing w:after="40" w:before="40"/>
      </w:pPr>
      <w:r>
        <w:t>2. Clonal Analysis</w:t>
      </w:r>
    </w:p>
    <w:p>
      <w:pPr>
        <w:spacing w:after="40" w:before="40"/>
      </w:pPr>
      <w:r>
        <w:t xml:space="preserve">   2.1 Clone Count</w:t>
      </w:r>
    </w:p>
    <w:p>
      <w:pPr>
        <w:spacing w:after="40" w:before="40"/>
      </w:pPr>
      <w:r>
        <w:t xml:space="preserve">   2.2 Clone Size</w:t>
      </w:r>
    </w:p>
    <w:p>
      <w:pPr>
        <w:spacing w:after="40" w:before="40"/>
      </w:pPr>
      <w:r>
        <w:t xml:space="preserve">   2.3 Top X Clone Fraction (Repertoire Dominance)</w:t>
      </w:r>
    </w:p>
    <w:p>
      <w:pPr>
        <w:spacing w:after="40" w:before="40"/>
      </w:pPr>
      <w:r>
        <w:t>3. Summary of Key Findings</w:t>
      </w:r>
    </w:p>
    <w:p>
      <w:r>
        <w:br w:type="page"/>
      </w:r>
    </w:p>
    <w:p>
      <w:pPr>
        <w:pStyle w:val="Heading1"/>
      </w:pPr>
      <w:r>
        <w:rPr>
          <w:color w:val="1A3C6E"/>
        </w:rPr>
        <w:t>1. Cohort Description &amp; Metadata Overview</w:t>
      </w:r>
    </w:p>
    <w:p>
      <w:pPr>
        <w:pStyle w:val="Heading2"/>
      </w:pPr>
      <w:r>
        <w:rPr>
          <w:color w:val="1A3C6E"/>
        </w:rPr>
        <w:t>1.1 Data Source &amp; Study Composition</w:t>
      </w:r>
    </w:p>
    <w:p>
      <w:pPr>
        <w:spacing w:after="120"/>
      </w:pPr>
      <w:r>
        <w:t>The dataset consists of 100 repertoires drawn from 3 COVID-19 studies retrieved via the iReceptor AIRR-seq Data Commons API. Of these, 85 repertoires had complete metadata (age, sex, disease stage) and were used for all downstream analyses. The remaining 15 lacked metadata fields.</w:t>
      </w:r>
    </w:p>
    <w:p>
      <w:pPr>
        <w:jc w:val="center"/>
      </w:pPr>
      <w:r>
        <w:drawing>
          <wp:inline xmlns:a="http://schemas.openxmlformats.org/drawingml/2006/main" xmlns:pic="http://schemas.openxmlformats.org/drawingml/2006/picture">
            <wp:extent cx="5029200" cy="3352800"/>
            <wp:docPr id="1" name="Picture 1"/>
            <wp:cNvGraphicFramePr>
              <a:graphicFrameLocks noChangeAspect="1"/>
            </wp:cNvGraphicFramePr>
            <a:graphic>
              <a:graphicData uri="http://schemas.openxmlformats.org/drawingml/2006/picture">
                <pic:pic>
                  <pic:nvPicPr>
                    <pic:cNvPr id="0" name="01_subjects_per_dataset.png"/>
                    <pic:cNvPicPr/>
                  </pic:nvPicPr>
                  <pic:blipFill>
                    <a:blip r:embed="rId9"/>
                    <a:stretch>
                      <a:fillRect/>
                    </a:stretch>
                  </pic:blipFill>
                  <pic:spPr>
                    <a:xfrm>
                      <a:off x="0" y="0"/>
                      <a:ext cx="5029200" cy="3352800"/>
                    </a:xfrm>
                    <a:prstGeom prst="rect"/>
                  </pic:spPr>
                </pic:pic>
              </a:graphicData>
            </a:graphic>
          </wp:inline>
        </w:drawing>
      </w:r>
    </w:p>
    <w:p>
      <w:pPr>
        <w:jc w:val="center"/>
      </w:pPr>
      <w:r>
        <w:rPr>
          <w:i/>
          <w:color w:val="555555"/>
          <w:sz w:val="18"/>
        </w:rPr>
        <w:t>Figure 1.1. Number of subjects per dataset (study).</w:t>
      </w:r>
    </w:p>
    <w:p>
      <w:pPr>
        <w:pStyle w:val="Heading2"/>
      </w:pPr>
      <w:r>
        <w:rPr>
          <w:color w:val="1A3C6E"/>
        </w:rPr>
        <w:t>1.2 Disease Category Distribution</w:t>
      </w:r>
    </w:p>
    <w:p>
      <w:pPr>
        <w:spacing w:after="120"/>
      </w:pPr>
      <w:r>
        <w:t>Raw disease stage annotations were harmonized into 5 categories:</w:t>
      </w:r>
    </w:p>
    <w:tbl>
      <w:tblPr>
        <w:tblStyle w:val="LightShading-Accent1"/>
        <w:tblW w:type="auto" w:w="0"/>
        <w:jc w:val="center"/>
        <w:tblLook w:firstColumn="1" w:firstRow="1" w:lastColumn="0" w:lastRow="0" w:noHBand="0" w:noVBand="1" w:val="04A0"/>
      </w:tblPr>
      <w:tblGrid>
        <w:gridCol w:w="2880"/>
        <w:gridCol w:w="2880"/>
        <w:gridCol w:w="2880"/>
      </w:tblGrid>
      <w:tr>
        <w:tc>
          <w:tcPr>
            <w:tcW w:type="dxa" w:w="2880"/>
          </w:tcPr>
          <w:p>
            <w:r>
              <w:rPr>
                <w:b/>
                <w:sz w:val="20"/>
              </w:rPr>
              <w:t>Category</w:t>
            </w:r>
          </w:p>
        </w:tc>
        <w:tc>
          <w:tcPr>
            <w:tcW w:type="dxa" w:w="2880"/>
          </w:tcPr>
          <w:p>
            <w:r>
              <w:rPr>
                <w:b/>
                <w:sz w:val="20"/>
              </w:rPr>
              <w:t>Description</w:t>
            </w:r>
          </w:p>
        </w:tc>
        <w:tc>
          <w:tcPr>
            <w:tcW w:type="dxa" w:w="2880"/>
          </w:tcPr>
          <w:p>
            <w:r>
              <w:rPr>
                <w:b/>
                <w:sz w:val="20"/>
              </w:rPr>
              <w:t>N</w:t>
            </w:r>
          </w:p>
        </w:tc>
      </w:tr>
      <w:tr>
        <w:tc>
          <w:tcPr>
            <w:tcW w:type="dxa" w:w="2880"/>
          </w:tcPr>
          <w:p>
            <w:r>
              <w:rPr>
                <w:sz w:val="20"/>
              </w:rPr>
              <w:t>COVID Naive</w:t>
            </w:r>
          </w:p>
        </w:tc>
        <w:tc>
          <w:tcPr>
            <w:tcW w:type="dxa" w:w="2880"/>
          </w:tcPr>
          <w:p>
            <w:r>
              <w:rPr>
                <w:sz w:val="20"/>
              </w:rPr>
              <w:t>No prior SARS-CoV-2 infection</w:t>
            </w:r>
          </w:p>
        </w:tc>
        <w:tc>
          <w:tcPr>
            <w:tcW w:type="dxa" w:w="2880"/>
          </w:tcPr>
          <w:p>
            <w:r>
              <w:rPr>
                <w:sz w:val="20"/>
              </w:rPr>
              <w:t>8</w:t>
            </w:r>
          </w:p>
        </w:tc>
      </w:tr>
      <w:tr>
        <w:tc>
          <w:tcPr>
            <w:tcW w:type="dxa" w:w="2880"/>
          </w:tcPr>
          <w:p>
            <w:r>
              <w:rPr>
                <w:sz w:val="20"/>
              </w:rPr>
              <w:t>Mild</w:t>
            </w:r>
          </w:p>
        </w:tc>
        <w:tc>
          <w:tcPr>
            <w:tcW w:type="dxa" w:w="2880"/>
          </w:tcPr>
          <w:p>
            <w:r>
              <w:rPr>
                <w:sz w:val="20"/>
              </w:rPr>
              <w:t>Non-severe / mild COVID-19</w:t>
            </w:r>
          </w:p>
        </w:tc>
        <w:tc>
          <w:tcPr>
            <w:tcW w:type="dxa" w:w="2880"/>
          </w:tcPr>
          <w:p>
            <w:r>
              <w:rPr>
                <w:sz w:val="20"/>
              </w:rPr>
              <w:t>38</w:t>
            </w:r>
          </w:p>
        </w:tc>
      </w:tr>
      <w:tr>
        <w:tc>
          <w:tcPr>
            <w:tcW w:type="dxa" w:w="2880"/>
          </w:tcPr>
          <w:p>
            <w:r>
              <w:rPr>
                <w:sz w:val="20"/>
              </w:rPr>
              <w:t>Moderate</w:t>
            </w:r>
          </w:p>
        </w:tc>
        <w:tc>
          <w:tcPr>
            <w:tcW w:type="dxa" w:w="2880"/>
          </w:tcPr>
          <w:p>
            <w:r>
              <w:rPr>
                <w:sz w:val="20"/>
              </w:rPr>
              <w:t>Stable or improving COVID-19</w:t>
            </w:r>
          </w:p>
        </w:tc>
        <w:tc>
          <w:tcPr>
            <w:tcW w:type="dxa" w:w="2880"/>
          </w:tcPr>
          <w:p>
            <w:r>
              <w:rPr>
                <w:sz w:val="20"/>
              </w:rPr>
              <w:t>9</w:t>
            </w:r>
          </w:p>
        </w:tc>
      </w:tr>
      <w:tr>
        <w:tc>
          <w:tcPr>
            <w:tcW w:type="dxa" w:w="2880"/>
          </w:tcPr>
          <w:p>
            <w:r>
              <w:rPr>
                <w:sz w:val="20"/>
              </w:rPr>
              <w:t>Recovered</w:t>
            </w:r>
          </w:p>
        </w:tc>
        <w:tc>
          <w:tcPr>
            <w:tcW w:type="dxa" w:w="2880"/>
          </w:tcPr>
          <w:p>
            <w:r>
              <w:rPr>
                <w:sz w:val="20"/>
              </w:rPr>
              <w:t>Post-COVID recovery</w:t>
            </w:r>
          </w:p>
        </w:tc>
        <w:tc>
          <w:tcPr>
            <w:tcW w:type="dxa" w:w="2880"/>
          </w:tcPr>
          <w:p>
            <w:r>
              <w:rPr>
                <w:sz w:val="20"/>
              </w:rPr>
              <w:t>12</w:t>
            </w:r>
          </w:p>
        </w:tc>
      </w:tr>
      <w:tr>
        <w:tc>
          <w:tcPr>
            <w:tcW w:type="dxa" w:w="2880"/>
          </w:tcPr>
          <w:p>
            <w:r>
              <w:rPr>
                <w:sz w:val="20"/>
              </w:rPr>
              <w:t>Severe</w:t>
            </w:r>
          </w:p>
        </w:tc>
        <w:tc>
          <w:tcPr>
            <w:tcW w:type="dxa" w:w="2880"/>
          </w:tcPr>
          <w:p>
            <w:r>
              <w:rPr>
                <w:sz w:val="20"/>
              </w:rPr>
              <w:t>Severe / hypoxemic COVID-19</w:t>
            </w:r>
          </w:p>
        </w:tc>
        <w:tc>
          <w:tcPr>
            <w:tcW w:type="dxa" w:w="2880"/>
          </w:tcPr>
          <w:p>
            <w:r>
              <w:rPr>
                <w:sz w:val="20"/>
              </w:rPr>
              <w:t>18</w:t>
            </w:r>
          </w:p>
        </w:tc>
      </w:tr>
    </w:tbl>
    <w:p/>
    <w:p>
      <w:pPr>
        <w:spacing w:after="120"/>
      </w:pPr>
      <w:r>
        <w:t>The Mild group is the largest (n=38, 45%), followed by Severe (n=18, 21%), Recovered (n=12, 14%), Moderate (n=9, 11%), and COVID Naive (n=8, 9%).</w:t>
      </w:r>
    </w:p>
    <w:p>
      <w:pPr>
        <w:jc w:val="center"/>
      </w:pPr>
      <w:r>
        <w:drawing>
          <wp:inline xmlns:a="http://schemas.openxmlformats.org/drawingml/2006/main" xmlns:pic="http://schemas.openxmlformats.org/drawingml/2006/picture">
            <wp:extent cx="5029200" cy="3017520"/>
            <wp:docPr id="2" name="Picture 2"/>
            <wp:cNvGraphicFramePr>
              <a:graphicFrameLocks noChangeAspect="1"/>
            </wp:cNvGraphicFramePr>
            <a:graphic>
              <a:graphicData uri="http://schemas.openxmlformats.org/drawingml/2006/picture">
                <pic:pic>
                  <pic:nvPicPr>
                    <pic:cNvPr id="0" name="02a_subjects_per_disease_category.png"/>
                    <pic:cNvPicPr/>
                  </pic:nvPicPr>
                  <pic:blipFill>
                    <a:blip r:embed="rId10"/>
                    <a:stretch>
                      <a:fillRect/>
                    </a:stretch>
                  </pic:blipFill>
                  <pic:spPr>
                    <a:xfrm>
                      <a:off x="0" y="0"/>
                      <a:ext cx="5029200" cy="3017520"/>
                    </a:xfrm>
                    <a:prstGeom prst="rect"/>
                  </pic:spPr>
                </pic:pic>
              </a:graphicData>
            </a:graphic>
          </wp:inline>
        </w:drawing>
      </w:r>
    </w:p>
    <w:p>
      <w:pPr>
        <w:jc w:val="center"/>
      </w:pPr>
      <w:r>
        <w:rPr>
          <w:i/>
          <w:color w:val="555555"/>
          <w:sz w:val="18"/>
        </w:rPr>
        <w:t>Figure 1.2. Number of subjects per disease category.</w:t>
      </w:r>
    </w:p>
    <w:p>
      <w:pPr>
        <w:pStyle w:val="Heading2"/>
      </w:pPr>
      <w:r>
        <w:rPr>
          <w:color w:val="1A3C6E"/>
        </w:rPr>
        <w:t>1.3 Sex Distribution</w:t>
      </w:r>
    </w:p>
    <w:p>
      <w:pPr>
        <w:spacing w:after="120"/>
      </w:pPr>
      <w:r>
        <w:t>The cohort has a slight male skew: 51 males (60%) and 34 females (40%).</w:t>
      </w:r>
    </w:p>
    <w:p>
      <w:pPr>
        <w:jc w:val="center"/>
      </w:pPr>
      <w:r>
        <w:drawing>
          <wp:inline xmlns:a="http://schemas.openxmlformats.org/drawingml/2006/main" xmlns:pic="http://schemas.openxmlformats.org/drawingml/2006/picture">
            <wp:extent cx="5029200" cy="4310743"/>
            <wp:docPr id="3" name="Picture 3"/>
            <wp:cNvGraphicFramePr>
              <a:graphicFrameLocks noChangeAspect="1"/>
            </wp:cNvGraphicFramePr>
            <a:graphic>
              <a:graphicData uri="http://schemas.openxmlformats.org/drawingml/2006/picture">
                <pic:pic>
                  <pic:nvPicPr>
                    <pic:cNvPr id="0" name="02b_subjects_per_sex.png"/>
                    <pic:cNvPicPr/>
                  </pic:nvPicPr>
                  <pic:blipFill>
                    <a:blip r:embed="rId11"/>
                    <a:stretch>
                      <a:fillRect/>
                    </a:stretch>
                  </pic:blipFill>
                  <pic:spPr>
                    <a:xfrm>
                      <a:off x="0" y="0"/>
                      <a:ext cx="5029200" cy="4310743"/>
                    </a:xfrm>
                    <a:prstGeom prst="rect"/>
                  </pic:spPr>
                </pic:pic>
              </a:graphicData>
            </a:graphic>
          </wp:inline>
        </w:drawing>
      </w:r>
    </w:p>
    <w:p>
      <w:pPr>
        <w:jc w:val="center"/>
      </w:pPr>
      <w:r>
        <w:rPr>
          <w:i/>
          <w:color w:val="555555"/>
          <w:sz w:val="18"/>
        </w:rPr>
        <w:t>Figure 1.3. Number of subjects by sex.</w:t>
      </w:r>
    </w:p>
    <w:p>
      <w:pPr>
        <w:pStyle w:val="Heading2"/>
      </w:pPr>
      <w:r>
        <w:rPr>
          <w:color w:val="1A3C6E"/>
        </w:rPr>
        <w:t>1.4 Age Distribution</w:t>
      </w:r>
    </w:p>
    <w:p>
      <w:pPr>
        <w:spacing w:after="120"/>
      </w:pPr>
      <w:r>
        <w:t>Age ranges from 18 to 88 years (median ~ 55). The age group breakdown is:</w:t>
      </w:r>
    </w:p>
    <w:tbl>
      <w:tblPr>
        <w:tblStyle w:val="LightShading-Accent1"/>
        <w:tblW w:type="auto" w:w="0"/>
        <w:jc w:val="center"/>
        <w:tblLook w:firstColumn="1" w:firstRow="1" w:lastColumn="0" w:lastRow="0" w:noHBand="0" w:noVBand="1" w:val="04A0"/>
      </w:tblPr>
      <w:tblGrid>
        <w:gridCol w:w="4320"/>
        <w:gridCol w:w="4320"/>
      </w:tblGrid>
      <w:tr>
        <w:tc>
          <w:tcPr>
            <w:tcW w:type="dxa" w:w="4320"/>
          </w:tcPr>
          <w:p>
            <w:r>
              <w:rPr>
                <w:b/>
                <w:sz w:val="20"/>
              </w:rPr>
              <w:t>Age Group</w:t>
            </w:r>
          </w:p>
        </w:tc>
        <w:tc>
          <w:tcPr>
            <w:tcW w:type="dxa" w:w="4320"/>
          </w:tcPr>
          <w:p>
            <w:r>
              <w:rPr>
                <w:b/>
                <w:sz w:val="20"/>
              </w:rPr>
              <w:t>N</w:t>
            </w:r>
          </w:p>
        </w:tc>
      </w:tr>
      <w:tr>
        <w:tc>
          <w:tcPr>
            <w:tcW w:type="dxa" w:w="4320"/>
          </w:tcPr>
          <w:p>
            <w:r>
              <w:rPr>
                <w:sz w:val="20"/>
              </w:rPr>
              <w:t>18-30</w:t>
            </w:r>
          </w:p>
        </w:tc>
        <w:tc>
          <w:tcPr>
            <w:tcW w:type="dxa" w:w="4320"/>
          </w:tcPr>
          <w:p>
            <w:r>
              <w:rPr>
                <w:sz w:val="20"/>
              </w:rPr>
              <w:t>10</w:t>
            </w:r>
          </w:p>
        </w:tc>
      </w:tr>
      <w:tr>
        <w:tc>
          <w:tcPr>
            <w:tcW w:type="dxa" w:w="4320"/>
          </w:tcPr>
          <w:p>
            <w:r>
              <w:rPr>
                <w:sz w:val="20"/>
              </w:rPr>
              <w:t>31-50</w:t>
            </w:r>
          </w:p>
        </w:tc>
        <w:tc>
          <w:tcPr>
            <w:tcW w:type="dxa" w:w="4320"/>
          </w:tcPr>
          <w:p>
            <w:r>
              <w:rPr>
                <w:sz w:val="20"/>
              </w:rPr>
              <w:t>25</w:t>
            </w:r>
          </w:p>
        </w:tc>
      </w:tr>
      <w:tr>
        <w:tc>
          <w:tcPr>
            <w:tcW w:type="dxa" w:w="4320"/>
          </w:tcPr>
          <w:p>
            <w:r>
              <w:rPr>
                <w:sz w:val="20"/>
              </w:rPr>
              <w:t>51-65</w:t>
            </w:r>
          </w:p>
        </w:tc>
        <w:tc>
          <w:tcPr>
            <w:tcW w:type="dxa" w:w="4320"/>
          </w:tcPr>
          <w:p>
            <w:r>
              <w:rPr>
                <w:sz w:val="20"/>
              </w:rPr>
              <w:t>29</w:t>
            </w:r>
          </w:p>
        </w:tc>
      </w:tr>
      <w:tr>
        <w:tc>
          <w:tcPr>
            <w:tcW w:type="dxa" w:w="4320"/>
          </w:tcPr>
          <w:p>
            <w:r>
              <w:rPr>
                <w:sz w:val="20"/>
              </w:rPr>
              <w:t>66+</w:t>
            </w:r>
          </w:p>
        </w:tc>
        <w:tc>
          <w:tcPr>
            <w:tcW w:type="dxa" w:w="4320"/>
          </w:tcPr>
          <w:p>
            <w:r>
              <w:rPr>
                <w:sz w:val="20"/>
              </w:rPr>
              <w:t>21</w:t>
            </w:r>
          </w:p>
        </w:tc>
      </w:tr>
    </w:tbl>
    <w:p/>
    <w:p>
      <w:pPr>
        <w:spacing w:after="120"/>
      </w:pPr>
      <w:r>
        <w:t>The cohort skews older, with 59% of participants aged 51+.</w:t>
      </w:r>
    </w:p>
    <w:p>
      <w:pPr>
        <w:jc w:val="center"/>
      </w:pPr>
      <w:r>
        <w:drawing>
          <wp:inline xmlns:a="http://schemas.openxmlformats.org/drawingml/2006/main" xmlns:pic="http://schemas.openxmlformats.org/drawingml/2006/picture">
            <wp:extent cx="5029200" cy="3352800"/>
            <wp:docPr id="4" name="Picture 4"/>
            <wp:cNvGraphicFramePr>
              <a:graphicFrameLocks noChangeAspect="1"/>
            </wp:cNvGraphicFramePr>
            <a:graphic>
              <a:graphicData uri="http://schemas.openxmlformats.org/drawingml/2006/picture">
                <pic:pic>
                  <pic:nvPicPr>
                    <pic:cNvPr id="0" name="02c_age_distribution.png"/>
                    <pic:cNvPicPr/>
                  </pic:nvPicPr>
                  <pic:blipFill>
                    <a:blip r:embed="rId12"/>
                    <a:stretch>
                      <a:fillRect/>
                    </a:stretch>
                  </pic:blipFill>
                  <pic:spPr>
                    <a:xfrm>
                      <a:off x="0" y="0"/>
                      <a:ext cx="5029200" cy="3352800"/>
                    </a:xfrm>
                    <a:prstGeom prst="rect"/>
                  </pic:spPr>
                </pic:pic>
              </a:graphicData>
            </a:graphic>
          </wp:inline>
        </w:drawing>
      </w:r>
    </w:p>
    <w:p>
      <w:pPr>
        <w:jc w:val="center"/>
      </w:pPr>
      <w:r>
        <w:rPr>
          <w:i/>
          <w:color w:val="555555"/>
          <w:sz w:val="18"/>
        </w:rPr>
        <w:t>Figure 1.4a. Age distribution (histogram).</w:t>
      </w:r>
    </w:p>
    <w:p>
      <w:pPr>
        <w:jc w:val="center"/>
      </w:pPr>
      <w:r>
        <w:drawing>
          <wp:inline xmlns:a="http://schemas.openxmlformats.org/drawingml/2006/main" xmlns:pic="http://schemas.openxmlformats.org/drawingml/2006/picture">
            <wp:extent cx="5029200" cy="4310743"/>
            <wp:docPr id="5" name="Picture 5"/>
            <wp:cNvGraphicFramePr>
              <a:graphicFrameLocks noChangeAspect="1"/>
            </wp:cNvGraphicFramePr>
            <a:graphic>
              <a:graphicData uri="http://schemas.openxmlformats.org/drawingml/2006/picture">
                <pic:pic>
                  <pic:nvPicPr>
                    <pic:cNvPr id="0" name="02d_subjects_per_age_group.png"/>
                    <pic:cNvPicPr/>
                  </pic:nvPicPr>
                  <pic:blipFill>
                    <a:blip r:embed="rId13"/>
                    <a:stretch>
                      <a:fillRect/>
                    </a:stretch>
                  </pic:blipFill>
                  <pic:spPr>
                    <a:xfrm>
                      <a:off x="0" y="0"/>
                      <a:ext cx="5029200" cy="4310743"/>
                    </a:xfrm>
                    <a:prstGeom prst="rect"/>
                  </pic:spPr>
                </pic:pic>
              </a:graphicData>
            </a:graphic>
          </wp:inline>
        </w:drawing>
      </w:r>
    </w:p>
    <w:p>
      <w:pPr>
        <w:jc w:val="center"/>
      </w:pPr>
      <w:r>
        <w:rPr>
          <w:i/>
          <w:color w:val="555555"/>
          <w:sz w:val="18"/>
        </w:rPr>
        <w:t>Figure 1.4b. Number of subjects per age group.</w:t>
      </w:r>
    </w:p>
    <w:p>
      <w:pPr>
        <w:pStyle w:val="Heading2"/>
      </w:pPr>
      <w:r>
        <w:rPr>
          <w:color w:val="1A3C6E"/>
        </w:rPr>
        <w:t>1.5 Cross-Stratification: Disease x Sex</w:t>
      </w:r>
    </w:p>
    <w:p>
      <w:pPr>
        <w:spacing w:after="120"/>
      </w:pPr>
      <w:r>
        <w:t>Males are overrepresented in Severe (12M vs 6F) and Mild (22M vs 16F) groups. COVID Naive is balanced (4M, 4F). Recovered has more males (8M vs 4F).</w:t>
      </w:r>
    </w:p>
    <w:p>
      <w:pPr>
        <w:jc w:val="center"/>
      </w:pPr>
      <w:r>
        <w:drawing>
          <wp:inline xmlns:a="http://schemas.openxmlformats.org/drawingml/2006/main" xmlns:pic="http://schemas.openxmlformats.org/drawingml/2006/picture">
            <wp:extent cx="5029200" cy="2743200"/>
            <wp:docPr id="6" name="Picture 6"/>
            <wp:cNvGraphicFramePr>
              <a:graphicFrameLocks noChangeAspect="1"/>
            </wp:cNvGraphicFramePr>
            <a:graphic>
              <a:graphicData uri="http://schemas.openxmlformats.org/drawingml/2006/picture">
                <pic:pic>
                  <pic:nvPicPr>
                    <pic:cNvPr id="0" name="03a_disease_by_sex.png"/>
                    <pic:cNvPicPr/>
                  </pic:nvPicPr>
                  <pic:blipFill>
                    <a:blip r:embed="rId14"/>
                    <a:stretch>
                      <a:fillRect/>
                    </a:stretch>
                  </pic:blipFill>
                  <pic:spPr>
                    <a:xfrm>
                      <a:off x="0" y="0"/>
                      <a:ext cx="5029200" cy="2743200"/>
                    </a:xfrm>
                    <a:prstGeom prst="rect"/>
                  </pic:spPr>
                </pic:pic>
              </a:graphicData>
            </a:graphic>
          </wp:inline>
        </w:drawing>
      </w:r>
    </w:p>
    <w:p>
      <w:pPr>
        <w:jc w:val="center"/>
      </w:pPr>
      <w:r>
        <w:rPr>
          <w:i/>
          <w:color w:val="555555"/>
          <w:sz w:val="18"/>
        </w:rPr>
        <w:t>Figure 1.5. Disease category distribution stratified by sex.</w:t>
      </w:r>
    </w:p>
    <w:p>
      <w:pPr>
        <w:pStyle w:val="Heading2"/>
      </w:pPr>
      <w:r>
        <w:rPr>
          <w:color w:val="1A3C6E"/>
        </w:rPr>
        <w:t>1.6 Cross-Stratification: Disease x Age</w:t>
      </w:r>
    </w:p>
    <w:p>
      <w:pPr>
        <w:spacing w:after="120"/>
      </w:pPr>
      <w:r>
        <w:t>Older participants (51-65, 66+) are concentrated in the Severe group. The Mild group has the most even age distribution. COVID Naive participants tend to be younger.</w:t>
      </w:r>
    </w:p>
    <w:p>
      <w:pPr>
        <w:jc w:val="center"/>
      </w:pPr>
      <w:r>
        <w:drawing>
          <wp:inline xmlns:a="http://schemas.openxmlformats.org/drawingml/2006/main" xmlns:pic="http://schemas.openxmlformats.org/drawingml/2006/picture">
            <wp:extent cx="5029200" cy="2514600"/>
            <wp:docPr id="7" name="Picture 7"/>
            <wp:cNvGraphicFramePr>
              <a:graphicFrameLocks noChangeAspect="1"/>
            </wp:cNvGraphicFramePr>
            <a:graphic>
              <a:graphicData uri="http://schemas.openxmlformats.org/drawingml/2006/picture">
                <pic:pic>
                  <pic:nvPicPr>
                    <pic:cNvPr id="0" name="03b_disease_by_age_group.png"/>
                    <pic:cNvPicPr/>
                  </pic:nvPicPr>
                  <pic:blipFill>
                    <a:blip r:embed="rId15"/>
                    <a:stretch>
                      <a:fillRect/>
                    </a:stretch>
                  </pic:blipFill>
                  <pic:spPr>
                    <a:xfrm>
                      <a:off x="0" y="0"/>
                      <a:ext cx="5029200" cy="2514600"/>
                    </a:xfrm>
                    <a:prstGeom prst="rect"/>
                  </pic:spPr>
                </pic:pic>
              </a:graphicData>
            </a:graphic>
          </wp:inline>
        </w:drawing>
      </w:r>
    </w:p>
    <w:p>
      <w:pPr>
        <w:jc w:val="center"/>
      </w:pPr>
      <w:r>
        <w:rPr>
          <w:i/>
          <w:color w:val="555555"/>
          <w:sz w:val="18"/>
        </w:rPr>
        <w:t>Figure 1.6. Disease category distribution stratified by age group.</w:t>
      </w:r>
    </w:p>
    <w:p>
      <w:pPr>
        <w:pStyle w:val="Heading2"/>
      </w:pPr>
      <w:r>
        <w:rPr>
          <w:color w:val="1A3C6E"/>
        </w:rPr>
        <w:t>1.7 Study x Disease Composition</w:t>
      </w:r>
    </w:p>
    <w:p>
      <w:pPr>
        <w:spacing w:after="120"/>
      </w:pPr>
      <w:r>
        <w:t>Different studies contributed different disease categories - disease confounds with study of origin, which is an important consideration for interpretation.</w:t>
      </w:r>
    </w:p>
    <w:p>
      <w:pPr>
        <w:jc w:val="center"/>
      </w:pPr>
      <w:r>
        <w:drawing>
          <wp:inline xmlns:a="http://schemas.openxmlformats.org/drawingml/2006/main" xmlns:pic="http://schemas.openxmlformats.org/drawingml/2006/picture">
            <wp:extent cx="5029200" cy="3017520"/>
            <wp:docPr id="8" name="Picture 8"/>
            <wp:cNvGraphicFramePr>
              <a:graphicFrameLocks noChangeAspect="1"/>
            </wp:cNvGraphicFramePr>
            <a:graphic>
              <a:graphicData uri="http://schemas.openxmlformats.org/drawingml/2006/picture">
                <pic:pic>
                  <pic:nvPicPr>
                    <pic:cNvPr id="0" name="03c_study_by_disease.png"/>
                    <pic:cNvPicPr/>
                  </pic:nvPicPr>
                  <pic:blipFill>
                    <a:blip r:embed="rId16"/>
                    <a:stretch>
                      <a:fillRect/>
                    </a:stretch>
                  </pic:blipFill>
                  <pic:spPr>
                    <a:xfrm>
                      <a:off x="0" y="0"/>
                      <a:ext cx="5029200" cy="3017520"/>
                    </a:xfrm>
                    <a:prstGeom prst="rect"/>
                  </pic:spPr>
                </pic:pic>
              </a:graphicData>
            </a:graphic>
          </wp:inline>
        </w:drawing>
      </w:r>
    </w:p>
    <w:p>
      <w:pPr>
        <w:jc w:val="center"/>
      </w:pPr>
      <w:r>
        <w:rPr>
          <w:i/>
          <w:color w:val="555555"/>
          <w:sz w:val="18"/>
        </w:rPr>
        <w:t>Figure 1.7. Study-level composition by disease category.</w:t>
      </w:r>
    </w:p>
    <w:p>
      <w:pPr>
        <w:pStyle w:val="Heading2"/>
      </w:pPr>
      <w:r>
        <w:rPr>
          <w:color w:val="1A3C6E"/>
        </w:rPr>
        <w:t>1.8 Heatmap: Disease x Age x Sex</w:t>
      </w:r>
    </w:p>
    <w:p>
      <w:pPr>
        <w:jc w:val="center"/>
      </w:pPr>
      <w:r>
        <w:drawing>
          <wp:inline xmlns:a="http://schemas.openxmlformats.org/drawingml/2006/main" xmlns:pic="http://schemas.openxmlformats.org/drawingml/2006/picture">
            <wp:extent cx="5029200" cy="2743200"/>
            <wp:docPr id="9" name="Picture 9"/>
            <wp:cNvGraphicFramePr>
              <a:graphicFrameLocks noChangeAspect="1"/>
            </wp:cNvGraphicFramePr>
            <a:graphic>
              <a:graphicData uri="http://schemas.openxmlformats.org/drawingml/2006/picture">
                <pic:pic>
                  <pic:nvPicPr>
                    <pic:cNvPr id="0" name="03d_age_by_disease_boxplot.png"/>
                    <pic:cNvPicPr/>
                  </pic:nvPicPr>
                  <pic:blipFill>
                    <a:blip r:embed="rId17"/>
                    <a:stretch>
                      <a:fillRect/>
                    </a:stretch>
                  </pic:blipFill>
                  <pic:spPr>
                    <a:xfrm>
                      <a:off x="0" y="0"/>
                      <a:ext cx="5029200" cy="2743200"/>
                    </a:xfrm>
                    <a:prstGeom prst="rect"/>
                  </pic:spPr>
                </pic:pic>
              </a:graphicData>
            </a:graphic>
          </wp:inline>
        </w:drawing>
      </w:r>
    </w:p>
    <w:p>
      <w:pPr>
        <w:jc w:val="center"/>
      </w:pPr>
      <w:r>
        <w:rPr>
          <w:i/>
          <w:color w:val="555555"/>
          <w:sz w:val="18"/>
        </w:rPr>
        <w:t>Figure 1.8a. Age distribution by disease category (boxplot).</w:t>
      </w:r>
    </w:p>
    <w:p>
      <w:pPr>
        <w:jc w:val="center"/>
      </w:pPr>
      <w:r>
        <w:drawing>
          <wp:inline xmlns:a="http://schemas.openxmlformats.org/drawingml/2006/main" xmlns:pic="http://schemas.openxmlformats.org/drawingml/2006/picture">
            <wp:extent cx="5029200" cy="2933700"/>
            <wp:docPr id="10" name="Picture 10"/>
            <wp:cNvGraphicFramePr>
              <a:graphicFrameLocks noChangeAspect="1"/>
            </wp:cNvGraphicFramePr>
            <a:graphic>
              <a:graphicData uri="http://schemas.openxmlformats.org/drawingml/2006/picture">
                <pic:pic>
                  <pic:nvPicPr>
                    <pic:cNvPr id="0" name="03e_heatmap_disease_age_sex.png"/>
                    <pic:cNvPicPr/>
                  </pic:nvPicPr>
                  <pic:blipFill>
                    <a:blip r:embed="rId18"/>
                    <a:stretch>
                      <a:fillRect/>
                    </a:stretch>
                  </pic:blipFill>
                  <pic:spPr>
                    <a:xfrm>
                      <a:off x="0" y="0"/>
                      <a:ext cx="5029200" cy="2933700"/>
                    </a:xfrm>
                    <a:prstGeom prst="rect"/>
                  </pic:spPr>
                </pic:pic>
              </a:graphicData>
            </a:graphic>
          </wp:inline>
        </w:drawing>
      </w:r>
    </w:p>
    <w:p>
      <w:pPr>
        <w:jc w:val="center"/>
      </w:pPr>
      <w:r>
        <w:rPr>
          <w:i/>
          <w:color w:val="555555"/>
          <w:sz w:val="18"/>
        </w:rPr>
        <w:t>Figure 1.8b. Heatmap of participant counts across disease category, age group, and sex.</w:t>
      </w:r>
    </w:p>
    <w:p>
      <w:r>
        <w:br w:type="page"/>
      </w:r>
    </w:p>
    <w:p>
      <w:pPr>
        <w:pStyle w:val="Heading1"/>
      </w:pPr>
      <w:r>
        <w:rPr>
          <w:color w:val="1A3C6E"/>
        </w:rPr>
        <w:t>2. Clonal Analysis</w:t>
      </w:r>
    </w:p>
    <w:p>
      <w:pPr>
        <w:pStyle w:val="Heading2"/>
      </w:pPr>
      <w:r>
        <w:rPr>
          <w:color w:val="1A3C6E"/>
        </w:rPr>
        <w:t>2.1 Clone Count</w:t>
      </w:r>
    </w:p>
    <w:p>
      <w:pPr>
        <w:spacing w:after="120"/>
      </w:pPr>
      <w:r>
        <w:t>Clone count represents the number of unique B-cell clones identified in each repertoire. Higher clone counts reflect greater clonal diversity.</w:t>
      </w:r>
    </w:p>
    <w:p>
      <w:pPr>
        <w:pStyle w:val="Heading3"/>
      </w:pPr>
      <w:r>
        <w:rPr>
          <w:color w:val="1A3C6E"/>
        </w:rPr>
        <w:t>2.1.1 Clone Count by Disease Category</w:t>
      </w:r>
    </w:p>
    <w:tbl>
      <w:tblPr>
        <w:tblStyle w:val="LightShading-Accent1"/>
        <w:tblW w:type="auto" w:w="0"/>
        <w:jc w:val="center"/>
        <w:tblLook w:firstColumn="1" w:firstRow="1" w:lastColumn="0" w:lastRow="0" w:noHBand="0" w:noVBand="1" w:val="04A0"/>
      </w:tblPr>
      <w:tblGrid>
        <w:gridCol w:w="1440"/>
        <w:gridCol w:w="1440"/>
        <w:gridCol w:w="1440"/>
        <w:gridCol w:w="1440"/>
        <w:gridCol w:w="1440"/>
        <w:gridCol w:w="1440"/>
      </w:tblGrid>
      <w:tr>
        <w:tc>
          <w:tcPr>
            <w:tcW w:type="dxa" w:w="1440"/>
          </w:tcPr>
          <w:p>
            <w:r>
              <w:rPr>
                <w:b/>
                <w:sz w:val="20"/>
              </w:rPr>
              <w:t>Disease Category</w:t>
            </w:r>
          </w:p>
        </w:tc>
        <w:tc>
          <w:tcPr>
            <w:tcW w:type="dxa" w:w="1440"/>
          </w:tcPr>
          <w:p>
            <w:r>
              <w:rPr>
                <w:b/>
                <w:sz w:val="20"/>
              </w:rPr>
              <w:t>N</w:t>
            </w:r>
          </w:p>
        </w:tc>
        <w:tc>
          <w:tcPr>
            <w:tcW w:type="dxa" w:w="1440"/>
          </w:tcPr>
          <w:p>
            <w:r>
              <w:rPr>
                <w:b/>
                <w:sz w:val="20"/>
              </w:rPr>
              <w:t>Median</w:t>
            </w:r>
          </w:p>
        </w:tc>
        <w:tc>
          <w:tcPr>
            <w:tcW w:type="dxa" w:w="1440"/>
          </w:tcPr>
          <w:p>
            <w:r>
              <w:rPr>
                <w:b/>
                <w:sz w:val="20"/>
              </w:rPr>
              <w:t>Mean</w:t>
            </w:r>
          </w:p>
        </w:tc>
        <w:tc>
          <w:tcPr>
            <w:tcW w:type="dxa" w:w="1440"/>
          </w:tcPr>
          <w:p>
            <w:r>
              <w:rPr>
                <w:b/>
                <w:sz w:val="20"/>
              </w:rPr>
              <w:t>Min</w:t>
            </w:r>
          </w:p>
        </w:tc>
        <w:tc>
          <w:tcPr>
            <w:tcW w:type="dxa" w:w="1440"/>
          </w:tcPr>
          <w:p>
            <w:r>
              <w:rPr>
                <w:b/>
                <w:sz w:val="20"/>
              </w:rPr>
              <w:t>Max</w:t>
            </w:r>
          </w:p>
        </w:tc>
      </w:tr>
      <w:tr>
        <w:tc>
          <w:tcPr>
            <w:tcW w:type="dxa" w:w="1440"/>
          </w:tcPr>
          <w:p>
            <w:r>
              <w:rPr>
                <w:sz w:val="20"/>
              </w:rPr>
              <w:t>COVID Naive</w:t>
            </w:r>
          </w:p>
        </w:tc>
        <w:tc>
          <w:tcPr>
            <w:tcW w:type="dxa" w:w="1440"/>
          </w:tcPr>
          <w:p>
            <w:r>
              <w:rPr>
                <w:sz w:val="20"/>
              </w:rPr>
              <w:t>8</w:t>
            </w:r>
          </w:p>
        </w:tc>
        <w:tc>
          <w:tcPr>
            <w:tcW w:type="dxa" w:w="1440"/>
          </w:tcPr>
          <w:p>
            <w:r>
              <w:rPr>
                <w:sz w:val="20"/>
              </w:rPr>
              <w:t>16,682</w:t>
            </w:r>
          </w:p>
        </w:tc>
        <w:tc>
          <w:tcPr>
            <w:tcW w:type="dxa" w:w="1440"/>
          </w:tcPr>
          <w:p>
            <w:r>
              <w:rPr>
                <w:sz w:val="20"/>
              </w:rPr>
              <w:t>18,086</w:t>
            </w:r>
          </w:p>
        </w:tc>
        <w:tc>
          <w:tcPr>
            <w:tcW w:type="dxa" w:w="1440"/>
          </w:tcPr>
          <w:p>
            <w:r>
              <w:rPr>
                <w:sz w:val="20"/>
              </w:rPr>
              <w:t>8,156</w:t>
            </w:r>
          </w:p>
        </w:tc>
        <w:tc>
          <w:tcPr>
            <w:tcW w:type="dxa" w:w="1440"/>
          </w:tcPr>
          <w:p>
            <w:r>
              <w:rPr>
                <w:sz w:val="20"/>
              </w:rPr>
              <w:t>29,178</w:t>
            </w:r>
          </w:p>
        </w:tc>
      </w:tr>
      <w:tr>
        <w:tc>
          <w:tcPr>
            <w:tcW w:type="dxa" w:w="1440"/>
          </w:tcPr>
          <w:p>
            <w:r>
              <w:rPr>
                <w:sz w:val="20"/>
              </w:rPr>
              <w:t>Mild</w:t>
            </w:r>
          </w:p>
        </w:tc>
        <w:tc>
          <w:tcPr>
            <w:tcW w:type="dxa" w:w="1440"/>
          </w:tcPr>
          <w:p>
            <w:r>
              <w:rPr>
                <w:sz w:val="20"/>
              </w:rPr>
              <w:t>38</w:t>
            </w:r>
          </w:p>
        </w:tc>
        <w:tc>
          <w:tcPr>
            <w:tcW w:type="dxa" w:w="1440"/>
          </w:tcPr>
          <w:p>
            <w:r>
              <w:rPr>
                <w:sz w:val="20"/>
              </w:rPr>
              <w:t>2,353</w:t>
            </w:r>
          </w:p>
        </w:tc>
        <w:tc>
          <w:tcPr>
            <w:tcW w:type="dxa" w:w="1440"/>
          </w:tcPr>
          <w:p>
            <w:r>
              <w:rPr>
                <w:sz w:val="20"/>
              </w:rPr>
              <w:t>2,593</w:t>
            </w:r>
          </w:p>
        </w:tc>
        <w:tc>
          <w:tcPr>
            <w:tcW w:type="dxa" w:w="1440"/>
          </w:tcPr>
          <w:p>
            <w:r>
              <w:rPr>
                <w:sz w:val="20"/>
              </w:rPr>
              <w:t>95</w:t>
            </w:r>
          </w:p>
        </w:tc>
        <w:tc>
          <w:tcPr>
            <w:tcW w:type="dxa" w:w="1440"/>
          </w:tcPr>
          <w:p>
            <w:r>
              <w:rPr>
                <w:sz w:val="20"/>
              </w:rPr>
              <w:t>5,997</w:t>
            </w:r>
          </w:p>
        </w:tc>
      </w:tr>
      <w:tr>
        <w:tc>
          <w:tcPr>
            <w:tcW w:type="dxa" w:w="1440"/>
          </w:tcPr>
          <w:p>
            <w:r>
              <w:rPr>
                <w:sz w:val="20"/>
              </w:rPr>
              <w:t>Moderate</w:t>
            </w:r>
          </w:p>
        </w:tc>
        <w:tc>
          <w:tcPr>
            <w:tcW w:type="dxa" w:w="1440"/>
          </w:tcPr>
          <w:p>
            <w:r>
              <w:rPr>
                <w:sz w:val="20"/>
              </w:rPr>
              <w:t>9</w:t>
            </w:r>
          </w:p>
        </w:tc>
        <w:tc>
          <w:tcPr>
            <w:tcW w:type="dxa" w:w="1440"/>
          </w:tcPr>
          <w:p>
            <w:r>
              <w:rPr>
                <w:sz w:val="20"/>
              </w:rPr>
              <w:t>5,085</w:t>
            </w:r>
          </w:p>
        </w:tc>
        <w:tc>
          <w:tcPr>
            <w:tcW w:type="dxa" w:w="1440"/>
          </w:tcPr>
          <w:p>
            <w:r>
              <w:rPr>
                <w:sz w:val="20"/>
              </w:rPr>
              <w:t>9,327</w:t>
            </w:r>
          </w:p>
        </w:tc>
        <w:tc>
          <w:tcPr>
            <w:tcW w:type="dxa" w:w="1440"/>
          </w:tcPr>
          <w:p>
            <w:r>
              <w:rPr>
                <w:sz w:val="20"/>
              </w:rPr>
              <w:t>3,459</w:t>
            </w:r>
          </w:p>
        </w:tc>
        <w:tc>
          <w:tcPr>
            <w:tcW w:type="dxa" w:w="1440"/>
          </w:tcPr>
          <w:p>
            <w:r>
              <w:rPr>
                <w:sz w:val="20"/>
              </w:rPr>
              <w:t>22,480</w:t>
            </w:r>
          </w:p>
        </w:tc>
      </w:tr>
      <w:tr>
        <w:tc>
          <w:tcPr>
            <w:tcW w:type="dxa" w:w="1440"/>
          </w:tcPr>
          <w:p>
            <w:r>
              <w:rPr>
                <w:sz w:val="20"/>
              </w:rPr>
              <w:t>Recovered</w:t>
            </w:r>
          </w:p>
        </w:tc>
        <w:tc>
          <w:tcPr>
            <w:tcW w:type="dxa" w:w="1440"/>
          </w:tcPr>
          <w:p>
            <w:r>
              <w:rPr>
                <w:sz w:val="20"/>
              </w:rPr>
              <w:t>12</w:t>
            </w:r>
          </w:p>
        </w:tc>
        <w:tc>
          <w:tcPr>
            <w:tcW w:type="dxa" w:w="1440"/>
          </w:tcPr>
          <w:p>
            <w:r>
              <w:rPr>
                <w:sz w:val="20"/>
              </w:rPr>
              <w:t>21,527</w:t>
            </w:r>
          </w:p>
        </w:tc>
        <w:tc>
          <w:tcPr>
            <w:tcW w:type="dxa" w:w="1440"/>
          </w:tcPr>
          <w:p>
            <w:r>
              <w:rPr>
                <w:sz w:val="20"/>
              </w:rPr>
              <w:t>19,661</w:t>
            </w:r>
          </w:p>
        </w:tc>
        <w:tc>
          <w:tcPr>
            <w:tcW w:type="dxa" w:w="1440"/>
          </w:tcPr>
          <w:p>
            <w:r>
              <w:rPr>
                <w:sz w:val="20"/>
              </w:rPr>
              <w:t>5,713</w:t>
            </w:r>
          </w:p>
        </w:tc>
        <w:tc>
          <w:tcPr>
            <w:tcW w:type="dxa" w:w="1440"/>
          </w:tcPr>
          <w:p>
            <w:r>
              <w:rPr>
                <w:sz w:val="20"/>
              </w:rPr>
              <w:t>33,699</w:t>
            </w:r>
          </w:p>
        </w:tc>
      </w:tr>
      <w:tr>
        <w:tc>
          <w:tcPr>
            <w:tcW w:type="dxa" w:w="1440"/>
          </w:tcPr>
          <w:p>
            <w:r>
              <w:rPr>
                <w:sz w:val="20"/>
              </w:rPr>
              <w:t>Severe</w:t>
            </w:r>
          </w:p>
        </w:tc>
        <w:tc>
          <w:tcPr>
            <w:tcW w:type="dxa" w:w="1440"/>
          </w:tcPr>
          <w:p>
            <w:r>
              <w:rPr>
                <w:sz w:val="20"/>
              </w:rPr>
              <w:t>18</w:t>
            </w:r>
          </w:p>
        </w:tc>
        <w:tc>
          <w:tcPr>
            <w:tcW w:type="dxa" w:w="1440"/>
          </w:tcPr>
          <w:p>
            <w:r>
              <w:rPr>
                <w:sz w:val="20"/>
              </w:rPr>
              <w:t>3,423</w:t>
            </w:r>
          </w:p>
        </w:tc>
        <w:tc>
          <w:tcPr>
            <w:tcW w:type="dxa" w:w="1440"/>
          </w:tcPr>
          <w:p>
            <w:r>
              <w:rPr>
                <w:sz w:val="20"/>
              </w:rPr>
              <w:t>6,782</w:t>
            </w:r>
          </w:p>
        </w:tc>
        <w:tc>
          <w:tcPr>
            <w:tcW w:type="dxa" w:w="1440"/>
          </w:tcPr>
          <w:p>
            <w:r>
              <w:rPr>
                <w:sz w:val="20"/>
              </w:rPr>
              <w:t>1,319</w:t>
            </w:r>
          </w:p>
        </w:tc>
        <w:tc>
          <w:tcPr>
            <w:tcW w:type="dxa" w:w="1440"/>
          </w:tcPr>
          <w:p>
            <w:r>
              <w:rPr>
                <w:sz w:val="20"/>
              </w:rPr>
              <w:t>22,452</w:t>
            </w:r>
          </w:p>
        </w:tc>
      </w:tr>
    </w:tbl>
    <w:p/>
    <w:p>
      <w:pPr>
        <w:spacing w:after="120"/>
      </w:pPr>
      <w:r>
        <w:rPr>
          <w:b/>
        </w:rPr>
        <w:t xml:space="preserve">Key finding: </w:t>
      </w:r>
      <w:r>
        <w:t>Recovered and COVID Naive individuals have the highest clone counts (median ~17K-22K), suggesting greater clonal diversity. Mild cases have the lowest (median ~2,350), likely reflecting differences in sequencing depth or sampling across studies rather than a biological signal alone.</w:t>
      </w:r>
    </w:p>
    <w:p>
      <w:pPr>
        <w:jc w:val="center"/>
      </w:pPr>
      <w:r>
        <w:drawing>
          <wp:inline xmlns:a="http://schemas.openxmlformats.org/drawingml/2006/main" xmlns:pic="http://schemas.openxmlformats.org/drawingml/2006/picture">
            <wp:extent cx="5029200" cy="3017520"/>
            <wp:docPr id="11" name="Picture 11"/>
            <wp:cNvGraphicFramePr>
              <a:graphicFrameLocks noChangeAspect="1"/>
            </wp:cNvGraphicFramePr>
            <a:graphic>
              <a:graphicData uri="http://schemas.openxmlformats.org/drawingml/2006/picture">
                <pic:pic>
                  <pic:nvPicPr>
                    <pic:cNvPr id="0" name="cc_by_disease.png"/>
                    <pic:cNvPicPr/>
                  </pic:nvPicPr>
                  <pic:blipFill>
                    <a:blip r:embed="rId19"/>
                    <a:stretch>
                      <a:fillRect/>
                    </a:stretch>
                  </pic:blipFill>
                  <pic:spPr>
                    <a:xfrm>
                      <a:off x="0" y="0"/>
                      <a:ext cx="5029200" cy="3017520"/>
                    </a:xfrm>
                    <a:prstGeom prst="rect"/>
                  </pic:spPr>
                </pic:pic>
              </a:graphicData>
            </a:graphic>
          </wp:inline>
        </w:drawing>
      </w:r>
    </w:p>
    <w:p>
      <w:pPr>
        <w:jc w:val="center"/>
      </w:pPr>
      <w:r>
        <w:rPr>
          <w:i/>
          <w:color w:val="555555"/>
          <w:sz w:val="18"/>
        </w:rPr>
        <w:t>Figure 2.1.1. Clone count by disease category.</w:t>
      </w:r>
    </w:p>
    <w:p>
      <w:pPr>
        <w:pStyle w:val="Heading3"/>
      </w:pPr>
      <w:r>
        <w:rPr>
          <w:color w:val="1A3C6E"/>
        </w:rPr>
        <w:t>2.1.2 Clone Count by Sex</w:t>
      </w:r>
    </w:p>
    <w:tbl>
      <w:tblPr>
        <w:tblStyle w:val="LightShading-Accent1"/>
        <w:tblW w:type="auto" w:w="0"/>
        <w:jc w:val="center"/>
        <w:tblLook w:firstColumn="1" w:firstRow="1" w:lastColumn="0" w:lastRow="0" w:noHBand="0" w:noVBand="1" w:val="04A0"/>
      </w:tblPr>
      <w:tblGrid>
        <w:gridCol w:w="2160"/>
        <w:gridCol w:w="2160"/>
        <w:gridCol w:w="2160"/>
        <w:gridCol w:w="2160"/>
      </w:tblGrid>
      <w:tr>
        <w:tc>
          <w:tcPr>
            <w:tcW w:type="dxa" w:w="2160"/>
          </w:tcPr>
          <w:p>
            <w:r>
              <w:rPr>
                <w:b/>
                <w:sz w:val="20"/>
              </w:rPr>
              <w:t>Sex</w:t>
            </w:r>
          </w:p>
        </w:tc>
        <w:tc>
          <w:tcPr>
            <w:tcW w:type="dxa" w:w="2160"/>
          </w:tcPr>
          <w:p>
            <w:r>
              <w:rPr>
                <w:b/>
                <w:sz w:val="20"/>
              </w:rPr>
              <w:t>N</w:t>
            </w:r>
          </w:p>
        </w:tc>
        <w:tc>
          <w:tcPr>
            <w:tcW w:type="dxa" w:w="2160"/>
          </w:tcPr>
          <w:p>
            <w:r>
              <w:rPr>
                <w:b/>
                <w:sz w:val="20"/>
              </w:rPr>
              <w:t>Median</w:t>
            </w:r>
          </w:p>
        </w:tc>
        <w:tc>
          <w:tcPr>
            <w:tcW w:type="dxa" w:w="2160"/>
          </w:tcPr>
          <w:p>
            <w:r>
              <w:rPr>
                <w:b/>
                <w:sz w:val="20"/>
              </w:rPr>
              <w:t>Mean</w:t>
            </w:r>
          </w:p>
        </w:tc>
      </w:tr>
      <w:tr>
        <w:tc>
          <w:tcPr>
            <w:tcW w:type="dxa" w:w="2160"/>
          </w:tcPr>
          <w:p>
            <w:r>
              <w:rPr>
                <w:sz w:val="20"/>
              </w:rPr>
              <w:t>Female</w:t>
            </w:r>
          </w:p>
        </w:tc>
        <w:tc>
          <w:tcPr>
            <w:tcW w:type="dxa" w:w="2160"/>
          </w:tcPr>
          <w:p>
            <w:r>
              <w:rPr>
                <w:sz w:val="20"/>
              </w:rPr>
              <w:t>34</w:t>
            </w:r>
          </w:p>
        </w:tc>
        <w:tc>
          <w:tcPr>
            <w:tcW w:type="dxa" w:w="2160"/>
          </w:tcPr>
          <w:p>
            <w:r>
              <w:rPr>
                <w:sz w:val="20"/>
              </w:rPr>
              <w:t>4,002</w:t>
            </w:r>
          </w:p>
        </w:tc>
        <w:tc>
          <w:tcPr>
            <w:tcW w:type="dxa" w:w="2160"/>
          </w:tcPr>
          <w:p>
            <w:r>
              <w:rPr>
                <w:sz w:val="20"/>
              </w:rPr>
              <w:t>7,073</w:t>
            </w:r>
          </w:p>
        </w:tc>
      </w:tr>
      <w:tr>
        <w:tc>
          <w:tcPr>
            <w:tcW w:type="dxa" w:w="2160"/>
          </w:tcPr>
          <w:p>
            <w:r>
              <w:rPr>
                <w:sz w:val="20"/>
              </w:rPr>
              <w:t>Male</w:t>
            </w:r>
          </w:p>
        </w:tc>
        <w:tc>
          <w:tcPr>
            <w:tcW w:type="dxa" w:w="2160"/>
          </w:tcPr>
          <w:p>
            <w:r>
              <w:rPr>
                <w:sz w:val="20"/>
              </w:rPr>
              <w:t>51</w:t>
            </w:r>
          </w:p>
        </w:tc>
        <w:tc>
          <w:tcPr>
            <w:tcW w:type="dxa" w:w="2160"/>
          </w:tcPr>
          <w:p>
            <w:r>
              <w:rPr>
                <w:sz w:val="20"/>
              </w:rPr>
              <w:t>4,244</w:t>
            </w:r>
          </w:p>
        </w:tc>
        <w:tc>
          <w:tcPr>
            <w:tcW w:type="dxa" w:w="2160"/>
          </w:tcPr>
          <w:p>
            <w:r>
              <w:rPr>
                <w:sz w:val="20"/>
              </w:rPr>
              <w:t>8,719</w:t>
            </w:r>
          </w:p>
        </w:tc>
      </w:tr>
    </w:tbl>
    <w:p/>
    <w:p>
      <w:pPr>
        <w:spacing w:after="120"/>
      </w:pPr>
      <w:r>
        <w:t>Clone counts are comparable between sexes, with males showing a slightly higher mean driven by outliers.</w:t>
      </w:r>
    </w:p>
    <w:p>
      <w:pPr>
        <w:jc w:val="center"/>
      </w:pPr>
      <w:r>
        <w:drawing>
          <wp:inline xmlns:a="http://schemas.openxmlformats.org/drawingml/2006/main" xmlns:pic="http://schemas.openxmlformats.org/drawingml/2006/picture">
            <wp:extent cx="5029200" cy="4310743"/>
            <wp:docPr id="12" name="Picture 12"/>
            <wp:cNvGraphicFramePr>
              <a:graphicFrameLocks noChangeAspect="1"/>
            </wp:cNvGraphicFramePr>
            <a:graphic>
              <a:graphicData uri="http://schemas.openxmlformats.org/drawingml/2006/picture">
                <pic:pic>
                  <pic:nvPicPr>
                    <pic:cNvPr id="0" name="cc_by_sex.png"/>
                    <pic:cNvPicPr/>
                  </pic:nvPicPr>
                  <pic:blipFill>
                    <a:blip r:embed="rId20"/>
                    <a:stretch>
                      <a:fillRect/>
                    </a:stretch>
                  </pic:blipFill>
                  <pic:spPr>
                    <a:xfrm>
                      <a:off x="0" y="0"/>
                      <a:ext cx="5029200" cy="4310743"/>
                    </a:xfrm>
                    <a:prstGeom prst="rect"/>
                  </pic:spPr>
                </pic:pic>
              </a:graphicData>
            </a:graphic>
          </wp:inline>
        </w:drawing>
      </w:r>
    </w:p>
    <w:p>
      <w:pPr>
        <w:jc w:val="center"/>
      </w:pPr>
      <w:r>
        <w:rPr>
          <w:i/>
          <w:color w:val="555555"/>
          <w:sz w:val="18"/>
        </w:rPr>
        <w:t>Figure 2.1.2. Clone count by sex.</w:t>
      </w:r>
    </w:p>
    <w:p>
      <w:pPr>
        <w:pStyle w:val="Heading3"/>
      </w:pPr>
      <w:r>
        <w:rPr>
          <w:color w:val="1A3C6E"/>
        </w:rPr>
        <w:t>2.1.3 Clone Count by Age Group</w:t>
      </w:r>
    </w:p>
    <w:p>
      <w:pPr>
        <w:jc w:val="center"/>
      </w:pPr>
      <w:r>
        <w:drawing>
          <wp:inline xmlns:a="http://schemas.openxmlformats.org/drawingml/2006/main" xmlns:pic="http://schemas.openxmlformats.org/drawingml/2006/picture">
            <wp:extent cx="5029200" cy="3771900"/>
            <wp:docPr id="13" name="Picture 13"/>
            <wp:cNvGraphicFramePr>
              <a:graphicFrameLocks noChangeAspect="1"/>
            </wp:cNvGraphicFramePr>
            <a:graphic>
              <a:graphicData uri="http://schemas.openxmlformats.org/drawingml/2006/picture">
                <pic:pic>
                  <pic:nvPicPr>
                    <pic:cNvPr id="0" name="cc_by_age.png"/>
                    <pic:cNvPicPr/>
                  </pic:nvPicPr>
                  <pic:blipFill>
                    <a:blip r:embed="rId21"/>
                    <a:stretch>
                      <a:fillRect/>
                    </a:stretch>
                  </pic:blipFill>
                  <pic:spPr>
                    <a:xfrm>
                      <a:off x="0" y="0"/>
                      <a:ext cx="5029200" cy="3771900"/>
                    </a:xfrm>
                    <a:prstGeom prst="rect"/>
                  </pic:spPr>
                </pic:pic>
              </a:graphicData>
            </a:graphic>
          </wp:inline>
        </w:drawing>
      </w:r>
    </w:p>
    <w:p>
      <w:pPr>
        <w:jc w:val="center"/>
      </w:pPr>
      <w:r>
        <w:rPr>
          <w:i/>
          <w:color w:val="555555"/>
          <w:sz w:val="18"/>
        </w:rPr>
        <w:t>Figure 2.1.3. Clone count by age group.</w:t>
      </w:r>
    </w:p>
    <w:p>
      <w:pPr>
        <w:pStyle w:val="Heading3"/>
      </w:pPr>
      <w:r>
        <w:rPr>
          <w:color w:val="1A3C6E"/>
        </w:rPr>
        <w:t>2.1.4 Clone Count by Disease x Sex</w:t>
      </w:r>
    </w:p>
    <w:p>
      <w:pPr>
        <w:jc w:val="center"/>
      </w:pPr>
      <w:r>
        <w:drawing>
          <wp:inline xmlns:a="http://schemas.openxmlformats.org/drawingml/2006/main" xmlns:pic="http://schemas.openxmlformats.org/drawingml/2006/picture">
            <wp:extent cx="5029200" cy="2514600"/>
            <wp:docPr id="14" name="Picture 14"/>
            <wp:cNvGraphicFramePr>
              <a:graphicFrameLocks noChangeAspect="1"/>
            </wp:cNvGraphicFramePr>
            <a:graphic>
              <a:graphicData uri="http://schemas.openxmlformats.org/drawingml/2006/picture">
                <pic:pic>
                  <pic:nvPicPr>
                    <pic:cNvPr id="0" name="cc_by_disease_sex.png"/>
                    <pic:cNvPicPr/>
                  </pic:nvPicPr>
                  <pic:blipFill>
                    <a:blip r:embed="rId22"/>
                    <a:stretch>
                      <a:fillRect/>
                    </a:stretch>
                  </pic:blipFill>
                  <pic:spPr>
                    <a:xfrm>
                      <a:off x="0" y="0"/>
                      <a:ext cx="5029200" cy="2514600"/>
                    </a:xfrm>
                    <a:prstGeom prst="rect"/>
                  </pic:spPr>
                </pic:pic>
              </a:graphicData>
            </a:graphic>
          </wp:inline>
        </w:drawing>
      </w:r>
    </w:p>
    <w:p>
      <w:pPr>
        <w:jc w:val="center"/>
      </w:pPr>
      <w:r>
        <w:rPr>
          <w:i/>
          <w:color w:val="555555"/>
          <w:sz w:val="18"/>
        </w:rPr>
        <w:t>Figure 2.1.4. Clone count by disease category and sex.</w:t>
      </w:r>
    </w:p>
    <w:p>
      <w:pPr>
        <w:pStyle w:val="Heading3"/>
      </w:pPr>
      <w:r>
        <w:rPr>
          <w:color w:val="1A3C6E"/>
        </w:rPr>
        <w:t>2.1.5 Clone Count by Disease x Age</w:t>
      </w:r>
    </w:p>
    <w:p>
      <w:pPr>
        <w:jc w:val="center"/>
      </w:pPr>
      <w:r>
        <w:drawing>
          <wp:inline xmlns:a="http://schemas.openxmlformats.org/drawingml/2006/main" xmlns:pic="http://schemas.openxmlformats.org/drawingml/2006/picture">
            <wp:extent cx="5029200" cy="2514600"/>
            <wp:docPr id="15" name="Picture 15"/>
            <wp:cNvGraphicFramePr>
              <a:graphicFrameLocks noChangeAspect="1"/>
            </wp:cNvGraphicFramePr>
            <a:graphic>
              <a:graphicData uri="http://schemas.openxmlformats.org/drawingml/2006/picture">
                <pic:pic>
                  <pic:nvPicPr>
                    <pic:cNvPr id="0" name="cc_by_disease_age.png"/>
                    <pic:cNvPicPr/>
                  </pic:nvPicPr>
                  <pic:blipFill>
                    <a:blip r:embed="rId23"/>
                    <a:stretch>
                      <a:fillRect/>
                    </a:stretch>
                  </pic:blipFill>
                  <pic:spPr>
                    <a:xfrm>
                      <a:off x="0" y="0"/>
                      <a:ext cx="5029200" cy="2514600"/>
                    </a:xfrm>
                    <a:prstGeom prst="rect"/>
                  </pic:spPr>
                </pic:pic>
              </a:graphicData>
            </a:graphic>
          </wp:inline>
        </w:drawing>
      </w:r>
    </w:p>
    <w:p>
      <w:pPr>
        <w:jc w:val="center"/>
      </w:pPr>
      <w:r>
        <w:rPr>
          <w:i/>
          <w:color w:val="555555"/>
          <w:sz w:val="18"/>
        </w:rPr>
        <w:t>Figure 2.1.5. Clone count by disease category and age group.</w:t>
      </w:r>
    </w:p>
    <w:p>
      <w:r>
        <w:br w:type="page"/>
      </w:r>
    </w:p>
    <w:p>
      <w:pPr>
        <w:pStyle w:val="Heading2"/>
      </w:pPr>
      <w:r>
        <w:rPr>
          <w:color w:val="1A3C6E"/>
        </w:rPr>
        <w:t>2.2 Clone Size</w:t>
      </w:r>
    </w:p>
    <w:p>
      <w:pPr>
        <w:spacing w:after="120"/>
      </w:pPr>
      <w:r>
        <w:t>Clone size represents the mean number of sequences per clone within each repertoire. Larger clone sizes indicate greater clonal expansion (i.e., individual clones have proliferated more).</w:t>
      </w:r>
    </w:p>
    <w:p>
      <w:pPr>
        <w:pStyle w:val="Heading3"/>
      </w:pPr>
      <w:r>
        <w:rPr>
          <w:color w:val="1A3C6E"/>
        </w:rPr>
        <w:t>2.2.1 Mean Clone Size by Disease Category</w:t>
      </w:r>
    </w:p>
    <w:tbl>
      <w:tblPr>
        <w:tblStyle w:val="LightShading-Accent1"/>
        <w:tblW w:type="auto" w:w="0"/>
        <w:jc w:val="center"/>
        <w:tblLook w:firstColumn="1" w:firstRow="1" w:lastColumn="0" w:lastRow="0" w:noHBand="0" w:noVBand="1" w:val="04A0"/>
      </w:tblPr>
      <w:tblGrid>
        <w:gridCol w:w="2160"/>
        <w:gridCol w:w="2160"/>
        <w:gridCol w:w="2160"/>
        <w:gridCol w:w="2160"/>
      </w:tblGrid>
      <w:tr>
        <w:tc>
          <w:tcPr>
            <w:tcW w:type="dxa" w:w="2160"/>
          </w:tcPr>
          <w:p>
            <w:r>
              <w:rPr>
                <w:b/>
                <w:sz w:val="20"/>
              </w:rPr>
              <w:t>Disease Category</w:t>
            </w:r>
          </w:p>
        </w:tc>
        <w:tc>
          <w:tcPr>
            <w:tcW w:type="dxa" w:w="2160"/>
          </w:tcPr>
          <w:p>
            <w:r>
              <w:rPr>
                <w:b/>
                <w:sz w:val="20"/>
              </w:rPr>
              <w:t>N</w:t>
            </w:r>
          </w:p>
        </w:tc>
        <w:tc>
          <w:tcPr>
            <w:tcW w:type="dxa" w:w="2160"/>
          </w:tcPr>
          <w:p>
            <w:r>
              <w:rPr>
                <w:b/>
                <w:sz w:val="20"/>
              </w:rPr>
              <w:t>Median (Mean CS)</w:t>
            </w:r>
          </w:p>
        </w:tc>
        <w:tc>
          <w:tcPr>
            <w:tcW w:type="dxa" w:w="2160"/>
          </w:tcPr>
          <w:p>
            <w:r>
              <w:rPr>
                <w:b/>
                <w:sz w:val="20"/>
              </w:rPr>
              <w:t>Mean (Mean CS)</w:t>
            </w:r>
          </w:p>
        </w:tc>
      </w:tr>
      <w:tr>
        <w:tc>
          <w:tcPr>
            <w:tcW w:type="dxa" w:w="2160"/>
          </w:tcPr>
          <w:p>
            <w:r>
              <w:rPr>
                <w:sz w:val="20"/>
              </w:rPr>
              <w:t>COVID Naive</w:t>
            </w:r>
          </w:p>
        </w:tc>
        <w:tc>
          <w:tcPr>
            <w:tcW w:type="dxa" w:w="2160"/>
          </w:tcPr>
          <w:p>
            <w:r>
              <w:rPr>
                <w:sz w:val="20"/>
              </w:rPr>
              <w:t>8</w:t>
            </w:r>
          </w:p>
        </w:tc>
        <w:tc>
          <w:tcPr>
            <w:tcW w:type="dxa" w:w="2160"/>
          </w:tcPr>
          <w:p>
            <w:r>
              <w:rPr>
                <w:sz w:val="20"/>
              </w:rPr>
              <w:t>114.0</w:t>
            </w:r>
          </w:p>
        </w:tc>
        <w:tc>
          <w:tcPr>
            <w:tcW w:type="dxa" w:w="2160"/>
          </w:tcPr>
          <w:p>
            <w:r>
              <w:rPr>
                <w:sz w:val="20"/>
              </w:rPr>
              <w:t>126.0</w:t>
            </w:r>
          </w:p>
        </w:tc>
      </w:tr>
      <w:tr>
        <w:tc>
          <w:tcPr>
            <w:tcW w:type="dxa" w:w="2160"/>
          </w:tcPr>
          <w:p>
            <w:r>
              <w:rPr>
                <w:sz w:val="20"/>
              </w:rPr>
              <w:t>Mild</w:t>
            </w:r>
          </w:p>
        </w:tc>
        <w:tc>
          <w:tcPr>
            <w:tcW w:type="dxa" w:w="2160"/>
          </w:tcPr>
          <w:p>
            <w:r>
              <w:rPr>
                <w:sz w:val="20"/>
              </w:rPr>
              <w:t>38</w:t>
            </w:r>
          </w:p>
        </w:tc>
        <w:tc>
          <w:tcPr>
            <w:tcW w:type="dxa" w:w="2160"/>
          </w:tcPr>
          <w:p>
            <w:r>
              <w:rPr>
                <w:sz w:val="20"/>
              </w:rPr>
              <w:t>36.4</w:t>
            </w:r>
          </w:p>
        </w:tc>
        <w:tc>
          <w:tcPr>
            <w:tcW w:type="dxa" w:w="2160"/>
          </w:tcPr>
          <w:p>
            <w:r>
              <w:rPr>
                <w:sz w:val="20"/>
              </w:rPr>
              <w:t>48.5</w:t>
            </w:r>
          </w:p>
        </w:tc>
      </w:tr>
      <w:tr>
        <w:tc>
          <w:tcPr>
            <w:tcW w:type="dxa" w:w="2160"/>
          </w:tcPr>
          <w:p>
            <w:r>
              <w:rPr>
                <w:sz w:val="20"/>
              </w:rPr>
              <w:t>Moderate</w:t>
            </w:r>
          </w:p>
        </w:tc>
        <w:tc>
          <w:tcPr>
            <w:tcW w:type="dxa" w:w="2160"/>
          </w:tcPr>
          <w:p>
            <w:r>
              <w:rPr>
                <w:sz w:val="20"/>
              </w:rPr>
              <w:t>9</w:t>
            </w:r>
          </w:p>
        </w:tc>
        <w:tc>
          <w:tcPr>
            <w:tcW w:type="dxa" w:w="2160"/>
          </w:tcPr>
          <w:p>
            <w:r>
              <w:rPr>
                <w:sz w:val="20"/>
              </w:rPr>
              <w:t>63.5</w:t>
            </w:r>
          </w:p>
        </w:tc>
        <w:tc>
          <w:tcPr>
            <w:tcW w:type="dxa" w:w="2160"/>
          </w:tcPr>
          <w:p>
            <w:r>
              <w:rPr>
                <w:sz w:val="20"/>
              </w:rPr>
              <w:t>60.0</w:t>
            </w:r>
          </w:p>
        </w:tc>
      </w:tr>
      <w:tr>
        <w:tc>
          <w:tcPr>
            <w:tcW w:type="dxa" w:w="2160"/>
          </w:tcPr>
          <w:p>
            <w:r>
              <w:rPr>
                <w:sz w:val="20"/>
              </w:rPr>
              <w:t>Recovered</w:t>
            </w:r>
          </w:p>
        </w:tc>
        <w:tc>
          <w:tcPr>
            <w:tcW w:type="dxa" w:w="2160"/>
          </w:tcPr>
          <w:p>
            <w:r>
              <w:rPr>
                <w:sz w:val="20"/>
              </w:rPr>
              <w:t>12</w:t>
            </w:r>
          </w:p>
        </w:tc>
        <w:tc>
          <w:tcPr>
            <w:tcW w:type="dxa" w:w="2160"/>
          </w:tcPr>
          <w:p>
            <w:r>
              <w:rPr>
                <w:sz w:val="20"/>
              </w:rPr>
              <w:t>66.9</w:t>
            </w:r>
          </w:p>
        </w:tc>
        <w:tc>
          <w:tcPr>
            <w:tcW w:type="dxa" w:w="2160"/>
          </w:tcPr>
          <w:p>
            <w:r>
              <w:rPr>
                <w:sz w:val="20"/>
              </w:rPr>
              <w:t>79.3</w:t>
            </w:r>
          </w:p>
        </w:tc>
      </w:tr>
      <w:tr>
        <w:tc>
          <w:tcPr>
            <w:tcW w:type="dxa" w:w="2160"/>
          </w:tcPr>
          <w:p>
            <w:r>
              <w:rPr>
                <w:sz w:val="20"/>
              </w:rPr>
              <w:t>Severe</w:t>
            </w:r>
          </w:p>
        </w:tc>
        <w:tc>
          <w:tcPr>
            <w:tcW w:type="dxa" w:w="2160"/>
          </w:tcPr>
          <w:p>
            <w:r>
              <w:rPr>
                <w:sz w:val="20"/>
              </w:rPr>
              <w:t>18</w:t>
            </w:r>
          </w:p>
        </w:tc>
        <w:tc>
          <w:tcPr>
            <w:tcW w:type="dxa" w:w="2160"/>
          </w:tcPr>
          <w:p>
            <w:r>
              <w:rPr>
                <w:sz w:val="20"/>
              </w:rPr>
              <w:t>53.4</w:t>
            </w:r>
          </w:p>
        </w:tc>
        <w:tc>
          <w:tcPr>
            <w:tcW w:type="dxa" w:w="2160"/>
          </w:tcPr>
          <w:p>
            <w:r>
              <w:rPr>
                <w:sz w:val="20"/>
              </w:rPr>
              <w:t>52.0</w:t>
            </w:r>
          </w:p>
        </w:tc>
      </w:tr>
    </w:tbl>
    <w:p/>
    <w:p>
      <w:pPr>
        <w:spacing w:after="120"/>
      </w:pPr>
      <w:r>
        <w:rPr>
          <w:b/>
        </w:rPr>
        <w:t xml:space="preserve">Key finding: </w:t>
      </w:r>
      <w:r>
        <w:t>COVID Naive individuals show the highest mean clone size (median 114), suggesting that even without COVID infection, their baseline repertoire features larger expanded clones. Mild cases show the smallest clones (median 36.4), consistent with a less intense immune response or earlier sampling. Severe and Moderate groups show intermediate expansion.</w:t>
      </w:r>
    </w:p>
    <w:p>
      <w:pPr>
        <w:jc w:val="center"/>
      </w:pPr>
      <w:r>
        <w:drawing>
          <wp:inline xmlns:a="http://schemas.openxmlformats.org/drawingml/2006/main" xmlns:pic="http://schemas.openxmlformats.org/drawingml/2006/picture">
            <wp:extent cx="5029200" cy="3017520"/>
            <wp:docPr id="16" name="Picture 16"/>
            <wp:cNvGraphicFramePr>
              <a:graphicFrameLocks noChangeAspect="1"/>
            </wp:cNvGraphicFramePr>
            <a:graphic>
              <a:graphicData uri="http://schemas.openxmlformats.org/drawingml/2006/picture">
                <pic:pic>
                  <pic:nvPicPr>
                    <pic:cNvPr id="0" name="cs_by_disease.png"/>
                    <pic:cNvPicPr/>
                  </pic:nvPicPr>
                  <pic:blipFill>
                    <a:blip r:embed="rId24"/>
                    <a:stretch>
                      <a:fillRect/>
                    </a:stretch>
                  </pic:blipFill>
                  <pic:spPr>
                    <a:xfrm>
                      <a:off x="0" y="0"/>
                      <a:ext cx="5029200" cy="3017520"/>
                    </a:xfrm>
                    <a:prstGeom prst="rect"/>
                  </pic:spPr>
                </pic:pic>
              </a:graphicData>
            </a:graphic>
          </wp:inline>
        </w:drawing>
      </w:r>
    </w:p>
    <w:p>
      <w:pPr>
        <w:jc w:val="center"/>
      </w:pPr>
      <w:r>
        <w:rPr>
          <w:i/>
          <w:color w:val="555555"/>
          <w:sz w:val="18"/>
        </w:rPr>
        <w:t>Figure 2.2.1. Mean clone size by disease category.</w:t>
      </w:r>
    </w:p>
    <w:p>
      <w:pPr>
        <w:pStyle w:val="Heading3"/>
      </w:pPr>
      <w:r>
        <w:rPr>
          <w:color w:val="1A3C6E"/>
        </w:rPr>
        <w:t>2.2.2 Mean Clone Size by Sex</w:t>
      </w:r>
    </w:p>
    <w:p>
      <w:pPr>
        <w:jc w:val="center"/>
      </w:pPr>
      <w:r>
        <w:drawing>
          <wp:inline xmlns:a="http://schemas.openxmlformats.org/drawingml/2006/main" xmlns:pic="http://schemas.openxmlformats.org/drawingml/2006/picture">
            <wp:extent cx="5029200" cy="4310743"/>
            <wp:docPr id="17" name="Picture 17"/>
            <wp:cNvGraphicFramePr>
              <a:graphicFrameLocks noChangeAspect="1"/>
            </wp:cNvGraphicFramePr>
            <a:graphic>
              <a:graphicData uri="http://schemas.openxmlformats.org/drawingml/2006/picture">
                <pic:pic>
                  <pic:nvPicPr>
                    <pic:cNvPr id="0" name="cs_by_sex.png"/>
                    <pic:cNvPicPr/>
                  </pic:nvPicPr>
                  <pic:blipFill>
                    <a:blip r:embed="rId25"/>
                    <a:stretch>
                      <a:fillRect/>
                    </a:stretch>
                  </pic:blipFill>
                  <pic:spPr>
                    <a:xfrm>
                      <a:off x="0" y="0"/>
                      <a:ext cx="5029200" cy="4310743"/>
                    </a:xfrm>
                    <a:prstGeom prst="rect"/>
                  </pic:spPr>
                </pic:pic>
              </a:graphicData>
            </a:graphic>
          </wp:inline>
        </w:drawing>
      </w:r>
    </w:p>
    <w:p>
      <w:pPr>
        <w:jc w:val="center"/>
      </w:pPr>
      <w:r>
        <w:rPr>
          <w:i/>
          <w:color w:val="555555"/>
          <w:sz w:val="18"/>
        </w:rPr>
        <w:t>Figure 2.2.2. Mean clone size by sex.</w:t>
      </w:r>
    </w:p>
    <w:p>
      <w:pPr>
        <w:pStyle w:val="Heading3"/>
      </w:pPr>
      <w:r>
        <w:rPr>
          <w:color w:val="1A3C6E"/>
        </w:rPr>
        <w:t>2.2.3 Mean Clone Size by Age Group</w:t>
      </w:r>
    </w:p>
    <w:p>
      <w:pPr>
        <w:jc w:val="center"/>
      </w:pPr>
      <w:r>
        <w:drawing>
          <wp:inline xmlns:a="http://schemas.openxmlformats.org/drawingml/2006/main" xmlns:pic="http://schemas.openxmlformats.org/drawingml/2006/picture">
            <wp:extent cx="5029200" cy="3771900"/>
            <wp:docPr id="18" name="Picture 18"/>
            <wp:cNvGraphicFramePr>
              <a:graphicFrameLocks noChangeAspect="1"/>
            </wp:cNvGraphicFramePr>
            <a:graphic>
              <a:graphicData uri="http://schemas.openxmlformats.org/drawingml/2006/picture">
                <pic:pic>
                  <pic:nvPicPr>
                    <pic:cNvPr id="0" name="cs_by_age.png"/>
                    <pic:cNvPicPr/>
                  </pic:nvPicPr>
                  <pic:blipFill>
                    <a:blip r:embed="rId26"/>
                    <a:stretch>
                      <a:fillRect/>
                    </a:stretch>
                  </pic:blipFill>
                  <pic:spPr>
                    <a:xfrm>
                      <a:off x="0" y="0"/>
                      <a:ext cx="5029200" cy="3771900"/>
                    </a:xfrm>
                    <a:prstGeom prst="rect"/>
                  </pic:spPr>
                </pic:pic>
              </a:graphicData>
            </a:graphic>
          </wp:inline>
        </w:drawing>
      </w:r>
    </w:p>
    <w:p>
      <w:pPr>
        <w:jc w:val="center"/>
      </w:pPr>
      <w:r>
        <w:rPr>
          <w:i/>
          <w:color w:val="555555"/>
          <w:sz w:val="18"/>
        </w:rPr>
        <w:t>Figure 2.2.3. Mean clone size by age group.</w:t>
      </w:r>
    </w:p>
    <w:p>
      <w:pPr>
        <w:pStyle w:val="Heading3"/>
      </w:pPr>
      <w:r>
        <w:rPr>
          <w:color w:val="1A3C6E"/>
        </w:rPr>
        <w:t>2.2.4 Mean Clone Size by Disease x Sex</w:t>
      </w:r>
    </w:p>
    <w:p>
      <w:pPr>
        <w:jc w:val="center"/>
      </w:pPr>
      <w:r>
        <w:drawing>
          <wp:inline xmlns:a="http://schemas.openxmlformats.org/drawingml/2006/main" xmlns:pic="http://schemas.openxmlformats.org/drawingml/2006/picture">
            <wp:extent cx="5029200" cy="2514600"/>
            <wp:docPr id="19" name="Picture 19"/>
            <wp:cNvGraphicFramePr>
              <a:graphicFrameLocks noChangeAspect="1"/>
            </wp:cNvGraphicFramePr>
            <a:graphic>
              <a:graphicData uri="http://schemas.openxmlformats.org/drawingml/2006/picture">
                <pic:pic>
                  <pic:nvPicPr>
                    <pic:cNvPr id="0" name="cs_by_disease_sex.png"/>
                    <pic:cNvPicPr/>
                  </pic:nvPicPr>
                  <pic:blipFill>
                    <a:blip r:embed="rId27"/>
                    <a:stretch>
                      <a:fillRect/>
                    </a:stretch>
                  </pic:blipFill>
                  <pic:spPr>
                    <a:xfrm>
                      <a:off x="0" y="0"/>
                      <a:ext cx="5029200" cy="2514600"/>
                    </a:xfrm>
                    <a:prstGeom prst="rect"/>
                  </pic:spPr>
                </pic:pic>
              </a:graphicData>
            </a:graphic>
          </wp:inline>
        </w:drawing>
      </w:r>
    </w:p>
    <w:p>
      <w:pPr>
        <w:jc w:val="center"/>
      </w:pPr>
      <w:r>
        <w:rPr>
          <w:i/>
          <w:color w:val="555555"/>
          <w:sz w:val="18"/>
        </w:rPr>
        <w:t>Figure 2.2.4. Mean clone size by disease category and sex.</w:t>
      </w:r>
    </w:p>
    <w:p>
      <w:r>
        <w:br w:type="page"/>
      </w:r>
    </w:p>
    <w:p>
      <w:pPr>
        <w:pStyle w:val="Heading2"/>
      </w:pPr>
      <w:r>
        <w:rPr>
          <w:color w:val="1A3C6E"/>
        </w:rPr>
        <w:t>2.3 Top X Clone Fraction (Repertoire Dominance)</w:t>
      </w:r>
    </w:p>
    <w:p>
      <w:pPr>
        <w:spacing w:after="120"/>
      </w:pPr>
      <w:r>
        <w:t>The Top X clone fraction measures the proportion of total sequence copies accounted for by the top 10, 100, or 1,000 clones. Higher fractions indicate greater oligoclonal dominance - a few clones dominate the repertoire.</w:t>
      </w:r>
    </w:p>
    <w:p>
      <w:pPr>
        <w:pStyle w:val="Heading3"/>
      </w:pPr>
      <w:r>
        <w:rPr>
          <w:color w:val="1A3C6E"/>
        </w:rPr>
        <w:t>2.3.1 Top X Fractions by Disease Category</w:t>
      </w:r>
    </w:p>
    <w:tbl>
      <w:tblPr>
        <w:tblStyle w:val="LightShading-Accent1"/>
        <w:tblW w:type="auto" w:w="0"/>
        <w:jc w:val="center"/>
        <w:tblLook w:firstColumn="1" w:firstRow="1" w:lastColumn="0" w:lastRow="0" w:noHBand="0" w:noVBand="1" w:val="04A0"/>
      </w:tblPr>
      <w:tblGrid>
        <w:gridCol w:w="1728"/>
        <w:gridCol w:w="1728"/>
        <w:gridCol w:w="1728"/>
        <w:gridCol w:w="1728"/>
        <w:gridCol w:w="1728"/>
      </w:tblGrid>
      <w:tr>
        <w:tc>
          <w:tcPr>
            <w:tcW w:type="dxa" w:w="1728"/>
          </w:tcPr>
          <w:p>
            <w:r>
              <w:rPr>
                <w:b/>
                <w:sz w:val="20"/>
              </w:rPr>
              <w:t>Disease Category</w:t>
            </w:r>
          </w:p>
        </w:tc>
        <w:tc>
          <w:tcPr>
            <w:tcW w:type="dxa" w:w="1728"/>
          </w:tcPr>
          <w:p>
            <w:r>
              <w:rPr>
                <w:b/>
                <w:sz w:val="20"/>
              </w:rPr>
              <w:t>N</w:t>
            </w:r>
          </w:p>
        </w:tc>
        <w:tc>
          <w:tcPr>
            <w:tcW w:type="dxa" w:w="1728"/>
          </w:tcPr>
          <w:p>
            <w:r>
              <w:rPr>
                <w:b/>
                <w:sz w:val="20"/>
              </w:rPr>
              <w:t>Top 10 (median)</w:t>
            </w:r>
          </w:p>
        </w:tc>
        <w:tc>
          <w:tcPr>
            <w:tcW w:type="dxa" w:w="1728"/>
          </w:tcPr>
          <w:p>
            <w:r>
              <w:rPr>
                <w:b/>
                <w:sz w:val="20"/>
              </w:rPr>
              <w:t>Top 100 (median)</w:t>
            </w:r>
          </w:p>
        </w:tc>
        <w:tc>
          <w:tcPr>
            <w:tcW w:type="dxa" w:w="1728"/>
          </w:tcPr>
          <w:p>
            <w:r>
              <w:rPr>
                <w:b/>
                <w:sz w:val="20"/>
              </w:rPr>
              <w:t>Top 1000 (median)</w:t>
            </w:r>
          </w:p>
        </w:tc>
      </w:tr>
      <w:tr>
        <w:tc>
          <w:tcPr>
            <w:tcW w:type="dxa" w:w="1728"/>
          </w:tcPr>
          <w:p>
            <w:r>
              <w:rPr>
                <w:sz w:val="20"/>
              </w:rPr>
              <w:t>COVID Naive</w:t>
            </w:r>
          </w:p>
        </w:tc>
        <w:tc>
          <w:tcPr>
            <w:tcW w:type="dxa" w:w="1728"/>
          </w:tcPr>
          <w:p>
            <w:r>
              <w:rPr>
                <w:sz w:val="20"/>
              </w:rPr>
              <w:t>8</w:t>
            </w:r>
          </w:p>
        </w:tc>
        <w:tc>
          <w:tcPr>
            <w:tcW w:type="dxa" w:w="1728"/>
          </w:tcPr>
          <w:p>
            <w:r>
              <w:rPr>
                <w:sz w:val="20"/>
              </w:rPr>
              <w:t>14.4%</w:t>
            </w:r>
          </w:p>
        </w:tc>
        <w:tc>
          <w:tcPr>
            <w:tcW w:type="dxa" w:w="1728"/>
          </w:tcPr>
          <w:p>
            <w:r>
              <w:rPr>
                <w:sz w:val="20"/>
              </w:rPr>
              <w:t>61.0%</w:t>
            </w:r>
          </w:p>
        </w:tc>
        <w:tc>
          <w:tcPr>
            <w:tcW w:type="dxa" w:w="1728"/>
          </w:tcPr>
          <w:p>
            <w:r>
              <w:rPr>
                <w:sz w:val="20"/>
              </w:rPr>
              <w:t>83.3%</w:t>
            </w:r>
          </w:p>
        </w:tc>
      </w:tr>
      <w:tr>
        <w:tc>
          <w:tcPr>
            <w:tcW w:type="dxa" w:w="1728"/>
          </w:tcPr>
          <w:p>
            <w:r>
              <w:rPr>
                <w:sz w:val="20"/>
              </w:rPr>
              <w:t>Mild</w:t>
            </w:r>
          </w:p>
        </w:tc>
        <w:tc>
          <w:tcPr>
            <w:tcW w:type="dxa" w:w="1728"/>
          </w:tcPr>
          <w:p>
            <w:r>
              <w:rPr>
                <w:sz w:val="20"/>
              </w:rPr>
              <w:t>38</w:t>
            </w:r>
          </w:p>
        </w:tc>
        <w:tc>
          <w:tcPr>
            <w:tcW w:type="dxa" w:w="1728"/>
          </w:tcPr>
          <w:p>
            <w:r>
              <w:rPr>
                <w:sz w:val="20"/>
              </w:rPr>
              <w:t>10.5%</w:t>
            </w:r>
          </w:p>
        </w:tc>
        <w:tc>
          <w:tcPr>
            <w:tcW w:type="dxa" w:w="1728"/>
          </w:tcPr>
          <w:p>
            <w:r>
              <w:rPr>
                <w:sz w:val="20"/>
              </w:rPr>
              <w:t>30.4%</w:t>
            </w:r>
          </w:p>
        </w:tc>
        <w:tc>
          <w:tcPr>
            <w:tcW w:type="dxa" w:w="1728"/>
          </w:tcPr>
          <w:p>
            <w:r>
              <w:rPr>
                <w:sz w:val="20"/>
              </w:rPr>
              <w:t>72.7%</w:t>
            </w:r>
          </w:p>
        </w:tc>
      </w:tr>
      <w:tr>
        <w:tc>
          <w:tcPr>
            <w:tcW w:type="dxa" w:w="1728"/>
          </w:tcPr>
          <w:p>
            <w:r>
              <w:rPr>
                <w:sz w:val="20"/>
              </w:rPr>
              <w:t>Moderate</w:t>
            </w:r>
          </w:p>
        </w:tc>
        <w:tc>
          <w:tcPr>
            <w:tcW w:type="dxa" w:w="1728"/>
          </w:tcPr>
          <w:p>
            <w:r>
              <w:rPr>
                <w:sz w:val="20"/>
              </w:rPr>
              <w:t>9</w:t>
            </w:r>
          </w:p>
        </w:tc>
        <w:tc>
          <w:tcPr>
            <w:tcW w:type="dxa" w:w="1728"/>
          </w:tcPr>
          <w:p>
            <w:r>
              <w:rPr>
                <w:sz w:val="20"/>
              </w:rPr>
              <w:t>22.6%</w:t>
            </w:r>
          </w:p>
        </w:tc>
        <w:tc>
          <w:tcPr>
            <w:tcW w:type="dxa" w:w="1728"/>
          </w:tcPr>
          <w:p>
            <w:r>
              <w:rPr>
                <w:sz w:val="20"/>
              </w:rPr>
              <w:t>45.5%</w:t>
            </w:r>
          </w:p>
        </w:tc>
        <w:tc>
          <w:tcPr>
            <w:tcW w:type="dxa" w:w="1728"/>
          </w:tcPr>
          <w:p>
            <w:r>
              <w:rPr>
                <w:sz w:val="20"/>
              </w:rPr>
              <w:t>74.1%</w:t>
            </w:r>
          </w:p>
        </w:tc>
      </w:tr>
      <w:tr>
        <w:tc>
          <w:tcPr>
            <w:tcW w:type="dxa" w:w="1728"/>
          </w:tcPr>
          <w:p>
            <w:r>
              <w:rPr>
                <w:sz w:val="20"/>
              </w:rPr>
              <w:t>Recovered</w:t>
            </w:r>
          </w:p>
        </w:tc>
        <w:tc>
          <w:tcPr>
            <w:tcW w:type="dxa" w:w="1728"/>
          </w:tcPr>
          <w:p>
            <w:r>
              <w:rPr>
                <w:sz w:val="20"/>
              </w:rPr>
              <w:t>12</w:t>
            </w:r>
          </w:p>
        </w:tc>
        <w:tc>
          <w:tcPr>
            <w:tcW w:type="dxa" w:w="1728"/>
          </w:tcPr>
          <w:p>
            <w:r>
              <w:rPr>
                <w:sz w:val="20"/>
              </w:rPr>
              <w:t>16.2%</w:t>
            </w:r>
          </w:p>
        </w:tc>
        <w:tc>
          <w:tcPr>
            <w:tcW w:type="dxa" w:w="1728"/>
          </w:tcPr>
          <w:p>
            <w:r>
              <w:rPr>
                <w:sz w:val="20"/>
              </w:rPr>
              <w:t>40.3%</w:t>
            </w:r>
          </w:p>
        </w:tc>
        <w:tc>
          <w:tcPr>
            <w:tcW w:type="dxa" w:w="1728"/>
          </w:tcPr>
          <w:p>
            <w:r>
              <w:rPr>
                <w:sz w:val="20"/>
              </w:rPr>
              <w:t>76.9%</w:t>
            </w:r>
          </w:p>
        </w:tc>
      </w:tr>
      <w:tr>
        <w:tc>
          <w:tcPr>
            <w:tcW w:type="dxa" w:w="1728"/>
          </w:tcPr>
          <w:p>
            <w:r>
              <w:rPr>
                <w:sz w:val="20"/>
              </w:rPr>
              <w:t>Severe</w:t>
            </w:r>
          </w:p>
        </w:tc>
        <w:tc>
          <w:tcPr>
            <w:tcW w:type="dxa" w:w="1728"/>
          </w:tcPr>
          <w:p>
            <w:r>
              <w:rPr>
                <w:sz w:val="20"/>
              </w:rPr>
              <w:t>18</w:t>
            </w:r>
          </w:p>
        </w:tc>
        <w:tc>
          <w:tcPr>
            <w:tcW w:type="dxa" w:w="1728"/>
          </w:tcPr>
          <w:p>
            <w:r>
              <w:rPr>
                <w:sz w:val="20"/>
              </w:rPr>
              <w:t>16.6%</w:t>
            </w:r>
          </w:p>
        </w:tc>
        <w:tc>
          <w:tcPr>
            <w:tcW w:type="dxa" w:w="1728"/>
          </w:tcPr>
          <w:p>
            <w:r>
              <w:rPr>
                <w:sz w:val="20"/>
              </w:rPr>
              <w:t>35.6%</w:t>
            </w:r>
          </w:p>
        </w:tc>
        <w:tc>
          <w:tcPr>
            <w:tcW w:type="dxa" w:w="1728"/>
          </w:tcPr>
          <w:p>
            <w:r>
              <w:rPr>
                <w:sz w:val="20"/>
              </w:rPr>
              <w:t>74.4%</w:t>
            </w:r>
          </w:p>
        </w:tc>
      </w:tr>
    </w:tbl>
    <w:p/>
    <w:p>
      <w:pPr>
        <w:spacing w:after="120"/>
      </w:pPr>
      <w:r>
        <w:rPr>
          <w:b/>
        </w:rPr>
        <w:t>Key findings:</w:t>
      </w:r>
      <w:r/>
    </w:p>
    <w:p>
      <w:pPr>
        <w:pStyle w:val="ListBullet"/>
        <w:spacing w:after="80"/>
      </w:pPr>
      <w:r>
        <w:t>Moderate disease shows the highest Top 10 dominance (22.6%), suggesting highly focused clonal responses in patients with stable/improving disease.</w:t>
      </w:r>
    </w:p>
    <w:p>
      <w:pPr>
        <w:pStyle w:val="ListBullet"/>
        <w:spacing w:after="80"/>
      </w:pPr>
      <w:r>
        <w:t>COVID Naive has the highest Top 100 and Top 1000 fractions (61% and 83%), indicating an oligoclonal baseline repertoire.</w:t>
      </w:r>
    </w:p>
    <w:p>
      <w:pPr>
        <w:pStyle w:val="ListBullet"/>
        <w:spacing w:after="80"/>
      </w:pPr>
      <w:r>
        <w:t>Mild cases show the lowest dominance across all tiers (10.5% Top 10), consistent with a more polyclonal, less focused response.</w:t>
      </w:r>
    </w:p>
    <w:p>
      <w:pPr>
        <w:jc w:val="center"/>
      </w:pPr>
      <w:r>
        <w:drawing>
          <wp:inline xmlns:a="http://schemas.openxmlformats.org/drawingml/2006/main" xmlns:pic="http://schemas.openxmlformats.org/drawingml/2006/picture">
            <wp:extent cx="5486400" cy="2351314"/>
            <wp:docPr id="20" name="Picture 20"/>
            <wp:cNvGraphicFramePr>
              <a:graphicFrameLocks noChangeAspect="1"/>
            </wp:cNvGraphicFramePr>
            <a:graphic>
              <a:graphicData uri="http://schemas.openxmlformats.org/drawingml/2006/picture">
                <pic:pic>
                  <pic:nvPicPr>
                    <pic:cNvPr id="0" name="topX_by_disease.png"/>
                    <pic:cNvPicPr/>
                  </pic:nvPicPr>
                  <pic:blipFill>
                    <a:blip r:embed="rId28"/>
                    <a:stretch>
                      <a:fillRect/>
                    </a:stretch>
                  </pic:blipFill>
                  <pic:spPr>
                    <a:xfrm>
                      <a:off x="0" y="0"/>
                      <a:ext cx="5486400" cy="2351314"/>
                    </a:xfrm>
                    <a:prstGeom prst="rect"/>
                  </pic:spPr>
                </pic:pic>
              </a:graphicData>
            </a:graphic>
          </wp:inline>
        </w:drawing>
      </w:r>
    </w:p>
    <w:p>
      <w:pPr>
        <w:jc w:val="center"/>
      </w:pPr>
      <w:r>
        <w:rPr>
          <w:i/>
          <w:color w:val="555555"/>
          <w:sz w:val="18"/>
        </w:rPr>
        <w:t>Figure 2.3.1. Top X clone fractions by disease category (faceted by Top 10, 100, 1000).</w:t>
      </w:r>
    </w:p>
    <w:p>
      <w:pPr>
        <w:pStyle w:val="Heading3"/>
      </w:pPr>
      <w:r>
        <w:rPr>
          <w:color w:val="1A3C6E"/>
        </w:rPr>
        <w:t>2.3.2 Top X Fractions by Sex</w:t>
      </w:r>
    </w:p>
    <w:p>
      <w:pPr>
        <w:jc w:val="center"/>
      </w:pPr>
      <w:r>
        <w:drawing>
          <wp:inline xmlns:a="http://schemas.openxmlformats.org/drawingml/2006/main" xmlns:pic="http://schemas.openxmlformats.org/drawingml/2006/picture">
            <wp:extent cx="5029200" cy="2514600"/>
            <wp:docPr id="21" name="Picture 21"/>
            <wp:cNvGraphicFramePr>
              <a:graphicFrameLocks noChangeAspect="1"/>
            </wp:cNvGraphicFramePr>
            <a:graphic>
              <a:graphicData uri="http://schemas.openxmlformats.org/drawingml/2006/picture">
                <pic:pic>
                  <pic:nvPicPr>
                    <pic:cNvPr id="0" name="topX_by_sex.png"/>
                    <pic:cNvPicPr/>
                  </pic:nvPicPr>
                  <pic:blipFill>
                    <a:blip r:embed="rId29"/>
                    <a:stretch>
                      <a:fillRect/>
                    </a:stretch>
                  </pic:blipFill>
                  <pic:spPr>
                    <a:xfrm>
                      <a:off x="0" y="0"/>
                      <a:ext cx="5029200" cy="2514600"/>
                    </a:xfrm>
                    <a:prstGeom prst="rect"/>
                  </pic:spPr>
                </pic:pic>
              </a:graphicData>
            </a:graphic>
          </wp:inline>
        </w:drawing>
      </w:r>
    </w:p>
    <w:p>
      <w:pPr>
        <w:jc w:val="center"/>
      </w:pPr>
      <w:r>
        <w:rPr>
          <w:i/>
          <w:color w:val="555555"/>
          <w:sz w:val="18"/>
        </w:rPr>
        <w:t>Figure 2.3.2. Top X clone fractions by sex.</w:t>
      </w:r>
    </w:p>
    <w:p>
      <w:pPr>
        <w:pStyle w:val="Heading3"/>
      </w:pPr>
      <w:r>
        <w:rPr>
          <w:color w:val="1A3C6E"/>
        </w:rPr>
        <w:t>2.3.3 Top X Fractions by Age Group</w:t>
      </w:r>
    </w:p>
    <w:p>
      <w:pPr>
        <w:jc w:val="center"/>
      </w:pPr>
      <w:r>
        <w:drawing>
          <wp:inline xmlns:a="http://schemas.openxmlformats.org/drawingml/2006/main" xmlns:pic="http://schemas.openxmlformats.org/drawingml/2006/picture">
            <wp:extent cx="5029200" cy="2514600"/>
            <wp:docPr id="22" name="Picture 22"/>
            <wp:cNvGraphicFramePr>
              <a:graphicFrameLocks noChangeAspect="1"/>
            </wp:cNvGraphicFramePr>
            <a:graphic>
              <a:graphicData uri="http://schemas.openxmlformats.org/drawingml/2006/picture">
                <pic:pic>
                  <pic:nvPicPr>
                    <pic:cNvPr id="0" name="topX_by_age.png"/>
                    <pic:cNvPicPr/>
                  </pic:nvPicPr>
                  <pic:blipFill>
                    <a:blip r:embed="rId30"/>
                    <a:stretch>
                      <a:fillRect/>
                    </a:stretch>
                  </pic:blipFill>
                  <pic:spPr>
                    <a:xfrm>
                      <a:off x="0" y="0"/>
                      <a:ext cx="5029200" cy="2514600"/>
                    </a:xfrm>
                    <a:prstGeom prst="rect"/>
                  </pic:spPr>
                </pic:pic>
              </a:graphicData>
            </a:graphic>
          </wp:inline>
        </w:drawing>
      </w:r>
    </w:p>
    <w:p>
      <w:pPr>
        <w:jc w:val="center"/>
      </w:pPr>
      <w:r>
        <w:rPr>
          <w:i/>
          <w:color w:val="555555"/>
          <w:sz w:val="18"/>
        </w:rPr>
        <w:t>Figure 2.3.3. Top X clone fractions by age group.</w:t>
      </w:r>
    </w:p>
    <w:p>
      <w:pPr>
        <w:pStyle w:val="Heading3"/>
      </w:pPr>
      <w:r>
        <w:rPr>
          <w:color w:val="1A3C6E"/>
        </w:rPr>
        <w:t>2.3.4 Top 10 Clone Fraction by Disease x Sex</w:t>
      </w:r>
    </w:p>
    <w:p>
      <w:pPr>
        <w:jc w:val="center"/>
      </w:pPr>
      <w:r>
        <w:drawing>
          <wp:inline xmlns:a="http://schemas.openxmlformats.org/drawingml/2006/main" xmlns:pic="http://schemas.openxmlformats.org/drawingml/2006/picture">
            <wp:extent cx="5029200" cy="2514600"/>
            <wp:docPr id="23" name="Picture 23"/>
            <wp:cNvGraphicFramePr>
              <a:graphicFrameLocks noChangeAspect="1"/>
            </wp:cNvGraphicFramePr>
            <a:graphic>
              <a:graphicData uri="http://schemas.openxmlformats.org/drawingml/2006/picture">
                <pic:pic>
                  <pic:nvPicPr>
                    <pic:cNvPr id="0" name="top10_by_disease_sex.png"/>
                    <pic:cNvPicPr/>
                  </pic:nvPicPr>
                  <pic:blipFill>
                    <a:blip r:embed="rId31"/>
                    <a:stretch>
                      <a:fillRect/>
                    </a:stretch>
                  </pic:blipFill>
                  <pic:spPr>
                    <a:xfrm>
                      <a:off x="0" y="0"/>
                      <a:ext cx="5029200" cy="2514600"/>
                    </a:xfrm>
                    <a:prstGeom prst="rect"/>
                  </pic:spPr>
                </pic:pic>
              </a:graphicData>
            </a:graphic>
          </wp:inline>
        </w:drawing>
      </w:r>
    </w:p>
    <w:p>
      <w:pPr>
        <w:jc w:val="center"/>
      </w:pPr>
      <w:r>
        <w:rPr>
          <w:i/>
          <w:color w:val="555555"/>
          <w:sz w:val="18"/>
        </w:rPr>
        <w:t>Figure 2.3.4. Top 10 clone fraction by disease category and sex.</w:t>
      </w:r>
    </w:p>
    <w:p>
      <w:pPr>
        <w:pStyle w:val="Heading3"/>
      </w:pPr>
      <w:r>
        <w:rPr>
          <w:color w:val="1A3C6E"/>
        </w:rPr>
        <w:t>2.3.5 Top 10 Clone Fraction by Disease x Age</w:t>
      </w:r>
    </w:p>
    <w:p>
      <w:pPr>
        <w:jc w:val="center"/>
      </w:pPr>
      <w:r>
        <w:drawing>
          <wp:inline xmlns:a="http://schemas.openxmlformats.org/drawingml/2006/main" xmlns:pic="http://schemas.openxmlformats.org/drawingml/2006/picture">
            <wp:extent cx="5029200" cy="2514600"/>
            <wp:docPr id="24" name="Picture 24"/>
            <wp:cNvGraphicFramePr>
              <a:graphicFrameLocks noChangeAspect="1"/>
            </wp:cNvGraphicFramePr>
            <a:graphic>
              <a:graphicData uri="http://schemas.openxmlformats.org/drawingml/2006/picture">
                <pic:pic>
                  <pic:nvPicPr>
                    <pic:cNvPr id="0" name="top10_by_disease_age.png"/>
                    <pic:cNvPicPr/>
                  </pic:nvPicPr>
                  <pic:blipFill>
                    <a:blip r:embed="rId32"/>
                    <a:stretch>
                      <a:fillRect/>
                    </a:stretch>
                  </pic:blipFill>
                  <pic:spPr>
                    <a:xfrm>
                      <a:off x="0" y="0"/>
                      <a:ext cx="5029200" cy="2514600"/>
                    </a:xfrm>
                    <a:prstGeom prst="rect"/>
                  </pic:spPr>
                </pic:pic>
              </a:graphicData>
            </a:graphic>
          </wp:inline>
        </w:drawing>
      </w:r>
    </w:p>
    <w:p>
      <w:pPr>
        <w:jc w:val="center"/>
      </w:pPr>
      <w:r>
        <w:rPr>
          <w:i/>
          <w:color w:val="555555"/>
          <w:sz w:val="18"/>
        </w:rPr>
        <w:t>Figure 2.3.5. Top 10 clone fraction by disease category and age group.</w:t>
      </w:r>
    </w:p>
    <w:p>
      <w:r>
        <w:br w:type="page"/>
      </w:r>
    </w:p>
    <w:p>
      <w:pPr>
        <w:pStyle w:val="Heading1"/>
      </w:pPr>
      <w:r>
        <w:rPr>
          <w:color w:val="1A3C6E"/>
        </w:rPr>
        <w:t>3. Summary of Key Findings</w:t>
      </w:r>
    </w:p>
    <w:p>
      <w:pPr>
        <w:spacing w:after="160"/>
      </w:pPr>
      <w:r>
        <w:rPr>
          <w:b/>
        </w:rPr>
        <w:t xml:space="preserve">1. Cohort composition: </w:t>
      </w:r>
      <w:r>
        <w:t>85 participants across 5 disease categories (Mild is the largest group at 45%). The cohort skews male (60%) and older (59% aged 51+). Severe cases are enriched for older males.</w:t>
      </w:r>
    </w:p>
    <w:p>
      <w:pPr>
        <w:spacing w:after="160"/>
      </w:pPr>
      <w:r>
        <w:rPr>
          <w:b/>
        </w:rPr>
        <w:t xml:space="preserve">2. Clone count (clonal diversity): </w:t>
      </w:r>
      <w:r>
        <w:t>Recovered and COVID Naive individuals have 5-8x more unique clones than Mild or Severe cases. This likely reflects both biological differences (post-infection expansion, baseline diversity) and technical variation (sequencing depth across studies).</w:t>
      </w:r>
    </w:p>
    <w:p>
      <w:pPr>
        <w:spacing w:after="160"/>
      </w:pPr>
      <w:r>
        <w:rPr>
          <w:b/>
        </w:rPr>
        <w:t xml:space="preserve">3. Clone size (clonal expansion): </w:t>
      </w:r>
      <w:r>
        <w:t>COVID Naive subjects show the largest average clone sizes (median 114 sequences/clone), 3x higher than Mild cases (36). This suggests substantial baseline clonal expansion even without COVID infection.</w:t>
      </w:r>
    </w:p>
    <w:p>
      <w:pPr>
        <w:spacing w:after="160"/>
      </w:pPr>
      <w:r>
        <w:rPr>
          <w:b/>
        </w:rPr>
        <w:t xml:space="preserve">4. Repertoire dominance (Top X fractions): </w:t>
      </w:r>
      <w:r>
        <w:t>Moderate disease shows the most oligoclonal repertoire (Top 10 clones = 22.6% of copies), while Mild cases are the most polyclonal (10.5%). This pattern is consistent with focused immune responses in more symptomatic disease.</w:t>
      </w:r>
    </w:p>
    <w:p>
      <w:pPr>
        <w:spacing w:after="160"/>
      </w:pPr>
      <w:r>
        <w:rPr>
          <w:b/>
        </w:rPr>
        <w:t xml:space="preserve">5. Sex differences: </w:t>
      </w:r>
      <w:r>
        <w:t>Minimal differences in clone count or size between males and females across all disease categories.</w:t>
      </w:r>
    </w:p>
    <w:p>
      <w:pPr>
        <w:spacing w:after="160"/>
      </w:pPr>
      <w:r>
        <w:rPr>
          <w:b/>
        </w:rPr>
        <w:t xml:space="preserve">6. Age effects: </w:t>
      </w:r>
      <w:r>
        <w:t>No strong age-dependent trends in clonal metrics were observed, though the age x disease confound (older patients in Severe group) limits interpretation.</w:t>
      </w:r>
    </w:p>
    <w:p>
      <w:pPr>
        <w:spacing w:after="160"/>
      </w:pPr>
      <w:r>
        <w:rPr>
          <w:b/>
        </w:rPr>
        <w:t xml:space="preserve">7. Caveats: </w:t>
      </w:r>
      <w:r>
        <w:t>Disease category confounds with study of origin. Differences in sequencing depth, library preparation, and sample timing across studies may contribute to observed variation. These results should be interpreted as exploratory.</w:t>
      </w:r>
    </w:p>
    <w:p/>
    <w:p>
      <w:pPr>
        <w:jc w:val="center"/>
      </w:pPr>
      <w:r>
        <w:rPr>
          <w:i/>
          <w:color w:val="888888"/>
          <w:sz w:val="18"/>
        </w:rPr>
        <w:t>Generated from iReceptor AIRR Data Commons API data.</w:t>
        <w:br/>
        <w:t>Analysis scripts: metadata_visualization.R, clonal_analysis.R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