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7"/>
        <w:gridCol w:w="1965"/>
      </w:tblGrid>
      <w:tr>
        <w:trPr>
          <w:trHeight w:val="41" w:hRule="atLeast"/>
        </w:trPr>
        <w:tc>
          <w:tcPr>
            <w:tcW w:w="83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sz w:val="17"/>
                <w:szCs w:val="17"/>
                <w:lang w:val="pt-BR"/>
              </w:rPr>
            </w:pPr>
            <w:r>
              <w:rPr>
                <w:rFonts w:cs="Verdana" w:ascii="Verdana" w:hAnsi="Verdana"/>
                <w:b/>
                <w:sz w:val="17"/>
                <w:szCs w:val="17"/>
                <w:lang w:val="pt-BR"/>
              </w:rPr>
              <w:t>B.SAGURULLA</w:t>
            </w:r>
            <w:r>
              <w:rPr>
                <w:rFonts w:cs="Arial" w:ascii="Arial" w:hAnsi="Arial"/>
                <w:sz w:val="20"/>
                <w:szCs w:val="20"/>
              </w:rPr>
              <w:br/>
            </w:r>
            <w:r>
              <w:rPr>
                <w:rFonts w:cs="Verdana" w:ascii="Verdana" w:hAnsi="Verdana"/>
                <w:b/>
                <w:sz w:val="17"/>
                <w:szCs w:val="17"/>
                <w:lang w:val="pt-BR"/>
              </w:rPr>
              <w:t xml:space="preserve">Mobile: </w:t>
            </w:r>
            <w:r>
              <w:rPr>
                <w:rFonts w:cs="Verdana" w:ascii="Verdana" w:hAnsi="Verdana"/>
                <w:sz w:val="17"/>
                <w:szCs w:val="17"/>
                <w:lang w:val="pt-BR"/>
              </w:rPr>
              <w:t xml:space="preserve">+971-56-6434813 </w:t>
            </w:r>
            <w:r>
              <w:rPr>
                <w:rFonts w:cs="Verdana" w:ascii="Verdana" w:hAnsi="Verdana"/>
                <w:b/>
                <w:sz w:val="17"/>
                <w:szCs w:val="17"/>
                <w:lang w:val="pt-BR"/>
              </w:rPr>
              <w:t>~ E-Mail:</w:t>
            </w:r>
            <w:r>
              <w:rPr>
                <w:rFonts w:cs="Verdana" w:ascii="Verdana" w:hAnsi="Verdana"/>
                <w:sz w:val="17"/>
                <w:szCs w:val="17"/>
                <w:lang w:val="pt-BR"/>
              </w:rPr>
              <w:t xml:space="preserve"> </w:t>
            </w:r>
            <w:hyperlink r:id="rId2">
              <w:r>
                <w:rPr>
                  <w:rStyle w:val="InternetLink"/>
                  <w:rFonts w:cs="Verdana" w:ascii="Verdana" w:hAnsi="Verdana"/>
                  <w:sz w:val="17"/>
                  <w:szCs w:val="17"/>
                  <w:lang w:val="pt-BR"/>
                </w:rPr>
                <w:t>sagurulla@hotmail.com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Verdana" w:hAnsi="Verdana" w:cs="Verdana"/>
                <w:b/>
                <w:b/>
                <w:i/>
                <w:i/>
                <w:sz w:val="17"/>
                <w:szCs w:val="17"/>
                <w:lang w:val="pt-BR"/>
              </w:rPr>
            </w:pPr>
            <w:r>
              <w:rPr>
                <w:rFonts w:cs="Verdana" w:ascii="Verdana" w:hAnsi="Verdana"/>
                <w:b/>
                <w:i/>
                <w:sz w:val="17"/>
                <w:szCs w:val="17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Sr. Engineer – Contracts &amp; Procurement</w:t>
            </w:r>
          </w:p>
        </w:tc>
        <w:tc>
          <w:tcPr>
            <w:tcW w:w="196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tbl>
            <w:tblPr>
              <w:tblW w:w="1715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15"/>
            </w:tblGrid>
            <w:tr>
              <w:trPr>
                <w:trHeight w:val="40" w:hRule="atLeast"/>
              </w:trPr>
              <w:tc>
                <w:tcPr>
                  <w:tcW w:w="1715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snapToGrid w:val="false"/>
                    <w:spacing w:lineRule="auto" w:line="240" w:before="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Verdana" w:hAnsi="Verdana" w:cs="Verdana"/>
          <w:b/>
          <w:b/>
          <w:sz w:val="17"/>
          <w:szCs w:val="17"/>
          <w:lang w:val="pt-BR"/>
        </w:rPr>
      </w:pPr>
      <w:r>
        <w:rPr>
          <w:rFonts w:cs="Verdana" w:ascii="Verdana" w:hAnsi="Verdana"/>
          <w:b/>
          <w:sz w:val="17"/>
          <w:szCs w:val="17"/>
          <w:lang w:val="pt-B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lang w:val="en-US" w:eastAsia="en-US"/>
        </w:rPr>
        <w:tab/>
      </w:r>
    </w:p>
    <w:p>
      <w:pPr>
        <w:pStyle w:val="Normal"/>
        <w:numPr>
          <w:ilvl w:val="0"/>
          <w:numId w:val="0"/>
        </w:numPr>
        <w:pBdr>
          <w:bottom w:val="double" w:sz="4" w:space="1" w:color="000000"/>
        </w:pBdr>
        <w:spacing w:before="20" w:after="20"/>
        <w:jc w:val="center"/>
        <w:outlineLvl w:val="0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  <w:t>CAREER OVERVIEW</w:t>
      </w:r>
    </w:p>
    <w:p>
      <w:pPr>
        <w:pStyle w:val="Normal"/>
        <w:numPr>
          <w:ilvl w:val="0"/>
          <w:numId w:val="1"/>
        </w:numPr>
        <w:spacing w:lineRule="auto" w:line="240" w:before="140" w:after="14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 xml:space="preserve">Currently Working as Senior Contracts &amp; Procurement Engineer with </w:t>
      </w:r>
      <w:r>
        <w:rPr>
          <w:rFonts w:cs="Arial" w:ascii="Verdana" w:hAnsi="Verdana"/>
          <w:b/>
          <w:sz w:val="17"/>
          <w:szCs w:val="17"/>
          <w:lang w:val="en-GB"/>
        </w:rPr>
        <w:t xml:space="preserve">over 8 years </w:t>
      </w:r>
      <w:r>
        <w:rPr>
          <w:rFonts w:cs="Arial" w:ascii="Verdana" w:hAnsi="Verdana"/>
          <w:sz w:val="17"/>
          <w:szCs w:val="17"/>
          <w:lang w:val="en-GB"/>
        </w:rPr>
        <w:t>of experience in Procurement of Equipments for Power Sectors, Utilities and Oil &amp; Gas Projects with EPC Firm.</w:t>
      </w:r>
    </w:p>
    <w:p>
      <w:pPr>
        <w:pStyle w:val="Normal"/>
        <w:numPr>
          <w:ilvl w:val="0"/>
          <w:numId w:val="1"/>
        </w:numPr>
        <w:spacing w:lineRule="auto" w:line="240" w:before="140" w:after="14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cs="Calibri" w:ascii="Verdana" w:hAnsi="Verdana"/>
          <w:sz w:val="17"/>
          <w:szCs w:val="17"/>
        </w:rPr>
        <w:t xml:space="preserve">Experience in Procurement of different types of Electrical Equipments, </w:t>
      </w:r>
      <w:r>
        <w:rPr>
          <w:rFonts w:cs="Verdana" w:ascii="Verdana" w:hAnsi="Verdana"/>
          <w:sz w:val="17"/>
          <w:szCs w:val="17"/>
        </w:rPr>
        <w:t>mechanical equipments and bulk materials as per project requirement from various Manufacturers based in Europe and USA.</w:t>
      </w:r>
    </w:p>
    <w:p>
      <w:pPr>
        <w:pStyle w:val="Normal"/>
        <w:numPr>
          <w:ilvl w:val="0"/>
          <w:numId w:val="1"/>
        </w:numPr>
        <w:spacing w:lineRule="auto" w:line="240" w:before="140" w:after="140"/>
        <w:jc w:val="both"/>
        <w:rPr>
          <w:rFonts w:ascii="Verdana" w:hAnsi="Verdana" w:cs="Arial"/>
          <w:color w:val="000000"/>
          <w:sz w:val="17"/>
          <w:szCs w:val="17"/>
          <w:lang w:val="en-GB"/>
        </w:rPr>
      </w:pPr>
      <w:r>
        <w:rPr>
          <w:rFonts w:cs="Arial" w:ascii="Verdana" w:hAnsi="Verdana"/>
          <w:sz w:val="17"/>
          <w:szCs w:val="17"/>
          <w:lang w:val="en-GB"/>
        </w:rPr>
        <w:t>Responsible for Sending RFQ, Tender Bulletins to bidders, Technical Clarifications, Conduct Clarification Meetings, negotiate with vendors, Prepare Purchase Order or Contracts and to release on Successful bidder by conducting E-Auctions.</w:t>
      </w:r>
    </w:p>
    <w:p>
      <w:pPr>
        <w:pStyle w:val="Normal"/>
        <w:numPr>
          <w:ilvl w:val="0"/>
          <w:numId w:val="1"/>
        </w:numPr>
        <w:spacing w:lineRule="auto" w:line="240" w:before="140" w:after="1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Responsible for obtaining PO Acknowledgement after release of PO. Monitoring of Purchase Orders / Contracts with Sub-contractors’ / Vendors post award and to monitor Warranty of the Equipments/Services till the Warranty Period and Close out.</w:t>
      </w:r>
    </w:p>
    <w:p>
      <w:pPr>
        <w:pStyle w:val="Normal"/>
        <w:numPr>
          <w:ilvl w:val="0"/>
          <w:numId w:val="1"/>
        </w:numPr>
        <w:spacing w:lineRule="auto" w:line="240" w:before="140" w:after="1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</w:rPr>
        <w:t>Responsible for initiation of Change Orders, monitoring the Change Requests and realizing the variation with direct liaison with Client.</w:t>
      </w:r>
    </w:p>
    <w:p>
      <w:pPr>
        <w:pStyle w:val="Normal"/>
        <w:numPr>
          <w:ilvl w:val="0"/>
          <w:numId w:val="1"/>
        </w:numPr>
        <w:spacing w:lineRule="auto" w:line="240" w:before="140" w:after="14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An effective leader with distinguished abilities in leading &amp; motivating a workforce for accomplishing project targets in the given timeframe.</w:t>
      </w:r>
    </w:p>
    <w:p>
      <w:pPr>
        <w:pStyle w:val="Normal"/>
        <w:numPr>
          <w:ilvl w:val="0"/>
          <w:numId w:val="0"/>
        </w:numPr>
        <w:pBdr>
          <w:bottom w:val="double" w:sz="4" w:space="1" w:color="000000"/>
        </w:pBdr>
        <w:spacing w:lineRule="auto" w:line="240" w:before="40" w:after="40"/>
        <w:jc w:val="center"/>
        <w:outlineLvl w:val="0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  <w:t>OTHER KEY SKILLS</w:t>
      </w:r>
    </w:p>
    <w:p>
      <w:pPr>
        <w:pStyle w:val="Normal"/>
        <w:spacing w:lineRule="auto" w:line="240" w:before="40" w:after="40"/>
        <w:jc w:val="both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</w:r>
    </w:p>
    <w:p>
      <w:pPr>
        <w:pStyle w:val="Normal"/>
        <w:spacing w:lineRule="auto" w:line="240" w:before="40" w:after="40"/>
        <w:jc w:val="both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Cs/>
          <w:iCs/>
          <w:color w:val="000000"/>
          <w:sz w:val="17"/>
          <w:szCs w:val="17"/>
          <w:lang w:val="en-GB"/>
        </w:rPr>
        <w:t>Supply Chain Management</w:t>
        <w:tab/>
        <w:tab/>
        <w:tab/>
        <w:tab/>
        <w:tab/>
        <w:t>Project Management</w:t>
        <w:tab/>
        <w:tab/>
        <w:tab/>
        <w:tab/>
        <w:tab/>
        <w:tab/>
        <w:tab/>
        <w:t xml:space="preserve">Techno Commercial Negotiations </w:t>
        <w:tab/>
        <w:tab/>
        <w:tab/>
        <w:tab/>
      </w:r>
    </w:p>
    <w:p>
      <w:pPr>
        <w:pStyle w:val="Normal"/>
        <w:numPr>
          <w:ilvl w:val="0"/>
          <w:numId w:val="0"/>
        </w:numPr>
        <w:pBdr>
          <w:bottom w:val="double" w:sz="4" w:space="1" w:color="000000"/>
        </w:pBdr>
        <w:spacing w:lineRule="auto" w:line="240" w:before="40" w:after="40"/>
        <w:jc w:val="center"/>
        <w:outlineLvl w:val="0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  <w:t>KNOWLEDGE PURVIEW</w:t>
      </w:r>
    </w:p>
    <w:p>
      <w:pPr>
        <w:pStyle w:val="Normal"/>
        <w:numPr>
          <w:ilvl w:val="0"/>
          <w:numId w:val="3"/>
        </w:numPr>
        <w:spacing w:lineRule="auto" w:line="240" w:before="40" w:after="40"/>
        <w:rPr>
          <w:rFonts w:ascii="Verdana" w:hAnsi="Verdana" w:cs="Calibri"/>
          <w:sz w:val="17"/>
          <w:szCs w:val="17"/>
        </w:rPr>
      </w:pPr>
      <w:r>
        <w:rPr>
          <w:rFonts w:cs="Calibri" w:ascii="Verdana" w:hAnsi="Verdana"/>
          <w:sz w:val="17"/>
          <w:szCs w:val="17"/>
        </w:rPr>
        <w:t xml:space="preserve">Managing procurement activities till project close out and tracking Supplier Performance during the course of the Project. </w:t>
      </w:r>
    </w:p>
    <w:p>
      <w:pPr>
        <w:pStyle w:val="Normal"/>
        <w:numPr>
          <w:ilvl w:val="0"/>
          <w:numId w:val="3"/>
        </w:numPr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Calibri" w:ascii="Verdana" w:hAnsi="Verdana"/>
          <w:sz w:val="17"/>
          <w:szCs w:val="17"/>
        </w:rPr>
        <w:t>Prepara</w:t>
      </w:r>
      <w:r>
        <w:rPr>
          <w:rFonts w:cs="Verdana" w:ascii="Verdana" w:hAnsi="Verdana"/>
          <w:sz w:val="17"/>
          <w:szCs w:val="17"/>
        </w:rPr>
        <w:t>tion of Budget, Cash flow, Finance requirements and arranging Insurance for the projects.</w:t>
      </w:r>
    </w:p>
    <w:p>
      <w:pPr>
        <w:pStyle w:val="Normal"/>
        <w:numPr>
          <w:ilvl w:val="0"/>
          <w:numId w:val="3"/>
        </w:numPr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Conversant in General Accounting Principles, Mode of Payments &amp; Currency Hedging.</w:t>
      </w:r>
    </w:p>
    <w:p>
      <w:pPr>
        <w:pStyle w:val="Normal"/>
        <w:numPr>
          <w:ilvl w:val="0"/>
          <w:numId w:val="3"/>
        </w:numPr>
        <w:spacing w:lineRule="auto" w:line="240" w:before="40" w:after="40"/>
        <w:rPr>
          <w:rFonts w:ascii="Verdana" w:hAnsi="Verdana" w:cs="Calibri"/>
          <w:sz w:val="17"/>
          <w:szCs w:val="17"/>
        </w:rPr>
      </w:pPr>
      <w:r>
        <w:rPr>
          <w:rFonts w:cs="Calibri" w:ascii="Verdana" w:hAnsi="Verdana"/>
          <w:sz w:val="17"/>
          <w:szCs w:val="17"/>
        </w:rPr>
        <w:t>Possess knowledge in developing contracts/Purchase Order complying to Client’s requirement and Organization’s Quality requirements.</w:t>
      </w:r>
    </w:p>
    <w:p>
      <w:pPr>
        <w:pStyle w:val="Normal"/>
        <w:numPr>
          <w:ilvl w:val="0"/>
          <w:numId w:val="3"/>
        </w:numPr>
        <w:spacing w:lineRule="auto" w:line="240" w:before="40" w:after="40"/>
        <w:rPr>
          <w:rFonts w:ascii="Verdana" w:hAnsi="Verdana" w:cs="Calibri"/>
          <w:sz w:val="17"/>
          <w:szCs w:val="17"/>
        </w:rPr>
      </w:pPr>
      <w:r>
        <w:rPr>
          <w:rFonts w:cs="Calibri" w:ascii="Verdana" w:hAnsi="Verdana"/>
          <w:sz w:val="17"/>
          <w:szCs w:val="17"/>
        </w:rPr>
        <w:t>Possess Experience in interacting with Various Manufacturer’s / Supplier’s across Europe and with various Clients.</w:t>
      </w:r>
    </w:p>
    <w:p>
      <w:pPr>
        <w:pStyle w:val="Normal"/>
        <w:numPr>
          <w:ilvl w:val="0"/>
          <w:numId w:val="3"/>
        </w:numPr>
        <w:spacing w:lineRule="auto" w:line="240" w:before="40" w:after="40"/>
        <w:rPr>
          <w:rFonts w:ascii="Verdana" w:hAnsi="Verdana" w:cs="Calibri"/>
          <w:sz w:val="17"/>
          <w:szCs w:val="17"/>
        </w:rPr>
      </w:pPr>
      <w:r>
        <w:rPr>
          <w:rFonts w:cs="Calibri" w:ascii="Verdana" w:hAnsi="Verdana"/>
          <w:sz w:val="17"/>
          <w:szCs w:val="17"/>
        </w:rPr>
        <w:t>Proficient in English and to work in a multicultural environment across different time zones.</w:t>
      </w:r>
    </w:p>
    <w:p>
      <w:pPr>
        <w:pStyle w:val="Normal"/>
        <w:spacing w:lineRule="auto" w:line="240" w:before="40" w:after="40"/>
        <w:ind w:left="360" w:hanging="0"/>
        <w:rPr>
          <w:rFonts w:ascii="Verdana" w:hAnsi="Verdana" w:cs="Calibri"/>
          <w:sz w:val="17"/>
          <w:szCs w:val="17"/>
        </w:rPr>
      </w:pPr>
      <w:r>
        <w:rPr>
          <w:rFonts w:cs="Calibri" w:ascii="Verdana" w:hAnsi="Verdana"/>
          <w:sz w:val="17"/>
          <w:szCs w:val="17"/>
        </w:rPr>
      </w:r>
    </w:p>
    <w:p>
      <w:pPr>
        <w:pStyle w:val="Normal"/>
        <w:numPr>
          <w:ilvl w:val="0"/>
          <w:numId w:val="0"/>
        </w:numPr>
        <w:pBdr>
          <w:bottom w:val="double" w:sz="4" w:space="1" w:color="000000"/>
        </w:pBdr>
        <w:spacing w:lineRule="auto" w:line="240" w:before="40" w:after="40"/>
        <w:jc w:val="center"/>
        <w:outlineLvl w:val="0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  <w:t>CAREER RECITAL</w:t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Growth Path</w:t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40" w:after="40"/>
        <w:rPr/>
      </w:pPr>
      <w:r>
        <w:rPr>
          <w:rFonts w:cs="Arial" w:ascii="Verdana" w:hAnsi="Verdana"/>
          <w:b/>
          <w:color w:val="000000"/>
          <w:sz w:val="17"/>
          <w:szCs w:val="17"/>
          <w:u w:val="single"/>
          <w:lang w:val="en-GB"/>
        </w:rPr>
        <w:t>(4) Emirates Technical Associates- Power Projects Division, Abu Dhabi</w:t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  <w:t>Feb’2015- Till date</w:t>
        <w:tab/>
        <w:tab/>
        <w:tab/>
        <w:t>Sr. Engineer – Contracts, Procurement &amp; Expedition</w:t>
      </w:r>
    </w:p>
    <w:p>
      <w:pPr>
        <w:pStyle w:val="Normal"/>
        <w:spacing w:lineRule="auto" w:line="240" w:before="40" w:after="40"/>
        <w:rPr>
          <w:rFonts w:ascii="Verdana" w:hAnsi="Verdana" w:cs="Arial"/>
          <w:b/>
          <w:b/>
          <w:i/>
          <w:i/>
          <w:color w:val="000000"/>
          <w:sz w:val="17"/>
          <w:szCs w:val="17"/>
          <w:u w:val="single"/>
          <w:lang w:val="en-GB"/>
        </w:rPr>
      </w:pPr>
      <w:r>
        <w:rPr>
          <w:rFonts w:cs="Arial" w:ascii="Verdana" w:hAnsi="Verdana"/>
          <w:b/>
          <w:i/>
          <w:color w:val="000000"/>
          <w:sz w:val="17"/>
          <w:szCs w:val="17"/>
          <w:u w:val="single"/>
          <w:lang w:val="en-GB"/>
        </w:rPr>
      </w:r>
    </w:p>
    <w:p>
      <w:pPr>
        <w:pStyle w:val="Normal"/>
        <w:spacing w:lineRule="auto" w:line="240" w:before="0" w:after="0"/>
        <w:ind w:left="1418" w:hanging="1418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Project</w:t>
        <w:tab/>
        <w:tab/>
        <w:t>:</w:t>
        <w:tab/>
        <w:tab/>
        <w:t xml:space="preserve">GASCO Project 5283: Engineering, Procurement &amp; Construction Phase – </w:t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i/>
          <w:sz w:val="17"/>
          <w:szCs w:val="17"/>
        </w:rPr>
        <w:tab/>
        <w:tab/>
        <w:tab/>
        <w:tab/>
        <w:tab/>
        <w:tab/>
        <w:tab/>
        <w:t xml:space="preserve">Power Generation Units Retirement Project @ ASAB, BU HASA, HABSHAN &amp; BAB </w:t>
      </w:r>
    </w:p>
    <w:p>
      <w:pPr>
        <w:pStyle w:val="Normal"/>
        <w:spacing w:lineRule="auto" w:line="240" w:before="0" w:after="0"/>
        <w:ind w:left="1728" w:firstLine="288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(Abu Dhabi oil fields)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1440" w:hanging="1425"/>
        <w:rPr/>
      </w:pPr>
      <w:r>
        <w:rPr>
          <w:rFonts w:cs="Verdana" w:ascii="Verdana" w:hAnsi="Verdana"/>
          <w:i/>
          <w:sz w:val="17"/>
          <w:szCs w:val="17"/>
        </w:rPr>
        <w:t xml:space="preserve">Platform </w:t>
        <w:tab/>
        <w:t>:</w:t>
        <w:tab/>
        <w:tab/>
        <w:t>Engineering, Procurement and Construction Phase of Primary Substations at ASAB, BAB, HABSHAN</w:t>
        <w:tab/>
        <w:tab/>
        <w:t>&amp; BUHASA for GASCO.</w:t>
      </w:r>
    </w:p>
    <w:p>
      <w:pPr>
        <w:pStyle w:val="Normal"/>
        <w:spacing w:lineRule="auto" w:line="240" w:before="0" w:after="0"/>
        <w:ind w:left="1728" w:firstLine="288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Client</w:t>
        <w:tab/>
        <w:tab/>
        <w:tab/>
        <w:tab/>
        <w:t>:</w:t>
        <w:tab/>
        <w:tab/>
        <w:t>GASCO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Consultant</w:t>
        <w:tab/>
        <w:tab/>
        <w:t>:</w:t>
        <w:tab/>
        <w:tab/>
        <w:t>Mott MacDonald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Value</w:t>
        <w:tab/>
        <w:tab/>
        <w:tab/>
        <w:tab/>
        <w:t>:</w:t>
        <w:tab/>
        <w:tab/>
        <w:t>USD.194 Million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b/>
          <w:sz w:val="17"/>
          <w:szCs w:val="17"/>
        </w:rPr>
        <w:t>Project Deliverables:</w:t>
      </w:r>
    </w:p>
    <w:p>
      <w:pPr>
        <w:pStyle w:val="Normal"/>
        <w:spacing w:lineRule="auto" w:line="240" w:before="0" w:after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Study of Front End Engineering Design (FEED) Documents and Summarize the Procurement &amp; Services Deliverables of the Projects. Identifying Long Lead items and to prepare procurement plan to kick start the Procurement Activities.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Preparing and Monitoring of the Budget.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sz w:val="17"/>
          <w:szCs w:val="17"/>
        </w:rPr>
        <w:t>Responsible for Sending out RFQ (Request for Quotation), Evaluate offers, analyzing the data and issuing award recommendation for Placement of PO.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Negotiating with Vendors for better Payment Terms, Warranty and After Sales Services for the Supplied Products.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Preparation of Purchase Order considering Company Policies, Client’s Requirement’s &amp; Local Government Regulations and obtaining Purchase Order Acknowledgement from vendors.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Monitoring of the Purchase Order and to obtain delivery confirmation from vendor and ensuring the materials and equipments are arriving on time based on the Project requirement.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reducing cost in procurement of bulk materials by identifying alternate vendors without compromising on Quality and Delivery requirements of the Project.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Responsible for Raising CTN (Contract Trend Notice) and Submitting it.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sz w:val="17"/>
          <w:szCs w:val="17"/>
        </w:rPr>
        <w:t>Supporting/coordinating Logistic Operations based on the Delivery terms of the PO.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reviewing Letter of credit.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sz w:val="17"/>
          <w:szCs w:val="17"/>
        </w:rPr>
        <w:t xml:space="preserve">Attending Weekly review meetings with Client/Consultant to update the Procurement, Sub-Contracting and Manufacturing Status of the Project.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Reporting Budget vs Actual of the Procurement Budget on Monthly basis.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Ensuring documentation as per Quality &amp; HSE Management System of the Organization.</w:t>
      </w:r>
    </w:p>
    <w:p>
      <w:pPr>
        <w:pStyle w:val="Normal"/>
        <w:numPr>
          <w:ilvl w:val="0"/>
          <w:numId w:val="2"/>
        </w:numPr>
        <w:spacing w:lineRule="auto" w:line="240" w:before="40" w:after="40"/>
        <w:jc w:val="both"/>
        <w:rPr>
          <w:rFonts w:ascii="Verdana" w:hAnsi="Verdana" w:cs="Arial"/>
          <w:color w:val="000000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</w:rPr>
        <w:t>Ensuring to execute all the processes in accordance with organizational policy requirements.</w:t>
      </w:r>
    </w:p>
    <w:p>
      <w:pPr>
        <w:pStyle w:val="Normal"/>
        <w:spacing w:lineRule="auto" w:line="240" w:before="40" w:after="40"/>
        <w:rPr>
          <w:rFonts w:ascii="Verdana" w:hAnsi="Verdana" w:cs="Arial"/>
          <w:color w:val="000000"/>
          <w:sz w:val="17"/>
          <w:szCs w:val="17"/>
          <w:u w:val="single"/>
          <w:lang w:val="en-GB"/>
        </w:rPr>
      </w:pPr>
      <w:r>
        <w:rPr>
          <w:rFonts w:cs="Arial" w:ascii="Verdana" w:hAnsi="Verdana"/>
          <w:color w:val="000000"/>
          <w:sz w:val="17"/>
          <w:szCs w:val="17"/>
          <w:u w:val="single"/>
          <w:lang w:val="en-GB"/>
        </w:rPr>
      </w:r>
    </w:p>
    <w:p>
      <w:pPr>
        <w:pStyle w:val="Normal"/>
        <w:spacing w:lineRule="auto" w:line="240" w:before="40" w:after="40"/>
        <w:rPr/>
      </w:pPr>
      <w:r>
        <w:rPr>
          <w:rFonts w:cs="Arial" w:ascii="Verdana" w:hAnsi="Verdana"/>
          <w:b/>
          <w:color w:val="000000"/>
          <w:sz w:val="17"/>
          <w:szCs w:val="17"/>
          <w:u w:val="single"/>
          <w:lang w:val="en-GB"/>
        </w:rPr>
        <w:t>(3) Alstom T&amp;D India Ltd</w:t>
      </w:r>
    </w:p>
    <w:p>
      <w:pPr>
        <w:pStyle w:val="Normal"/>
        <w:spacing w:lineRule="auto" w:line="240" w:before="40" w:after="40"/>
        <w:rPr/>
      </w:pPr>
      <w:r>
        <w:rPr>
          <w:rFonts w:cs="Verdana" w:ascii="Verdana" w:hAnsi="Verdana"/>
          <w:b/>
          <w:i/>
          <w:sz w:val="17"/>
          <w:szCs w:val="17"/>
        </w:rPr>
        <w:t>Sep’12 to Dec’14</w:t>
        <w:tab/>
        <w:tab/>
        <w:tab/>
        <w:t>Engineer (Procurement)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Verdana" w:ascii="Verdana" w:hAnsi="Verdana"/>
          <w:i/>
          <w:sz w:val="17"/>
          <w:szCs w:val="17"/>
        </w:rPr>
        <w:t>Business</w:t>
        <w:tab/>
        <w:tab/>
        <w:tab/>
        <w:t>:</w:t>
        <w:tab/>
        <w:tab/>
        <w:t>SAS, Product (Relays)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1152" w:hanging="1152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Customers</w:t>
        <w:tab/>
        <w:tab/>
        <w:t>:</w:t>
        <w:tab/>
        <w:tab/>
      </w:r>
      <w:r>
        <w:rPr>
          <w:rFonts w:cs="Verdana" w:ascii="Verdana" w:hAnsi="Verdana"/>
          <w:b/>
          <w:i/>
          <w:sz w:val="17"/>
          <w:szCs w:val="17"/>
        </w:rPr>
        <w:t>Utilities: -</w:t>
      </w:r>
      <w:r>
        <w:rPr>
          <w:rFonts w:cs="Verdana" w:ascii="Verdana" w:hAnsi="Verdana"/>
          <w:i/>
          <w:sz w:val="17"/>
          <w:szCs w:val="17"/>
        </w:rPr>
        <w:t>KPTCL, NTPC, MSTCL, WBSECL</w:t>
      </w:r>
    </w:p>
    <w:p>
      <w:pPr>
        <w:pStyle w:val="Normal"/>
        <w:spacing w:lineRule="auto" w:line="240" w:before="0" w:after="0"/>
        <w:ind w:left="1152" w:hanging="1152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ab/>
        <w:tab/>
        <w:tab/>
        <w:tab/>
      </w:r>
      <w:r>
        <w:rPr>
          <w:rFonts w:cs="Verdana" w:ascii="Verdana" w:hAnsi="Verdana"/>
          <w:b/>
          <w:i/>
          <w:sz w:val="17"/>
          <w:szCs w:val="17"/>
        </w:rPr>
        <w:t>OEM: -</w:t>
      </w:r>
      <w:r>
        <w:rPr>
          <w:rFonts w:cs="Verdana" w:ascii="Verdana" w:hAnsi="Verdana"/>
          <w:i/>
          <w:sz w:val="17"/>
          <w:szCs w:val="17"/>
        </w:rPr>
        <w:t>SCOPE T&amp;D PVT LTD, ASHIDA ELECTRONICS, HT SWITCH GEAR</w:t>
      </w:r>
    </w:p>
    <w:p>
      <w:pPr>
        <w:pStyle w:val="Normal"/>
        <w:spacing w:lineRule="auto" w:line="240" w:before="0" w:after="0"/>
        <w:ind w:left="1728" w:firstLine="288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  <w:t>Dealers: -</w:t>
      </w:r>
      <w:r>
        <w:rPr>
          <w:rFonts w:cs="Verdana" w:ascii="Verdana" w:hAnsi="Verdana"/>
          <w:i/>
          <w:sz w:val="17"/>
          <w:szCs w:val="17"/>
        </w:rPr>
        <w:t>SCS, CCS, AV POWER GREEN, AMICHAND TECHNOLOGICAL PRIVATE LTD,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b/>
          <w:sz w:val="17"/>
          <w:szCs w:val="17"/>
        </w:rPr>
        <w:t>Project Deliverables: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Manage the contract of assigned projects from the date of receipt of LOA to FAC.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Contractual efficient deliverables on time.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Booking the orders with agreed techno- Commercial terms.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sz w:val="17"/>
          <w:szCs w:val="17"/>
        </w:rPr>
        <w:t>Maintain Gross/Net Margins committed to Management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Focus on Sales landing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Backlog Analysis / Phasing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Sending OA within by 48 Hrs.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Inventory Management WIP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sz w:val="17"/>
          <w:szCs w:val="17"/>
        </w:rPr>
        <w:t>Additional responsibility:-Inventory dilution (Done inventory reduction of 13 MINR reduction during self-tenure)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Focus on Cash Collection/Payment </w:t>
      </w:r>
    </w:p>
    <w:p>
      <w:pPr>
        <w:pStyle w:val="Normal"/>
        <w:numPr>
          <w:ilvl w:val="0"/>
          <w:numId w:val="2"/>
        </w:numPr>
        <w:spacing w:lineRule="auto" w:line="240" w:before="40" w:after="40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Preparing MIS</w:t>
      </w:r>
    </w:p>
    <w:p>
      <w:pPr>
        <w:pStyle w:val="Normal"/>
        <w:spacing w:lineRule="auto" w:line="240" w:before="40" w:after="4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40" w:after="40"/>
        <w:rPr/>
      </w:pPr>
      <w:r>
        <w:rPr>
          <w:rFonts w:cs="Arial" w:ascii="Verdana" w:hAnsi="Verdana"/>
          <w:b/>
          <w:color w:val="000000"/>
          <w:sz w:val="17"/>
          <w:szCs w:val="17"/>
          <w:u w:val="single"/>
          <w:lang w:val="en-GB"/>
        </w:rPr>
        <w:t>(2) Electro RAK (India) Private Ltd</w:t>
      </w:r>
    </w:p>
    <w:p>
      <w:pPr>
        <w:pStyle w:val="Normal"/>
        <w:spacing w:lineRule="auto" w:line="240" w:before="40" w:after="40"/>
        <w:rPr/>
      </w:pPr>
      <w:r>
        <w:rPr>
          <w:rFonts w:cs="Verdana" w:ascii="Verdana" w:hAnsi="Verdana"/>
          <w:b/>
          <w:i/>
          <w:sz w:val="17"/>
          <w:szCs w:val="17"/>
        </w:rPr>
        <w:t>Jan’12-Sep’12</w:t>
        <w:tab/>
        <w:tab/>
        <w:tab/>
        <w:tab/>
        <w:t>Engineer (Procurement)</w:t>
      </w:r>
    </w:p>
    <w:p>
      <w:pPr>
        <w:pStyle w:val="Normal"/>
        <w:spacing w:lineRule="auto" w:line="240" w:before="40" w:after="40"/>
        <w:rPr>
          <w:rFonts w:ascii="Verdana" w:hAnsi="Verdana" w:cs="Arial"/>
          <w:b/>
          <w:b/>
          <w:i/>
          <w:i/>
          <w:color w:val="000000"/>
          <w:sz w:val="17"/>
          <w:szCs w:val="17"/>
          <w:u w:val="single"/>
          <w:lang w:val="en-GB"/>
        </w:rPr>
      </w:pPr>
      <w:r>
        <w:rPr>
          <w:rFonts w:cs="Arial" w:ascii="Verdana" w:hAnsi="Verdana"/>
          <w:b/>
          <w:i/>
          <w:color w:val="000000"/>
          <w:sz w:val="17"/>
          <w:szCs w:val="17"/>
          <w:u w:val="single"/>
          <w:lang w:val="en-GB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Verdana" w:ascii="Verdana" w:hAnsi="Verdana"/>
          <w:i/>
          <w:sz w:val="17"/>
          <w:szCs w:val="17"/>
        </w:rPr>
        <w:t>Business</w:t>
        <w:tab/>
        <w:tab/>
        <w:tab/>
        <w:t>:</w:t>
        <w:tab/>
        <w:tab/>
        <w:t>Construction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1152" w:hanging="1152"/>
        <w:jc w:val="both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Client</w:t>
        <w:tab/>
        <w:tab/>
        <w:t>:</w:t>
        <w:tab/>
        <w:tab/>
        <w:t>MARG group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b/>
          <w:sz w:val="17"/>
          <w:szCs w:val="17"/>
        </w:rPr>
        <w:t>Project Deliverables:</w:t>
      </w:r>
    </w:p>
    <w:p>
      <w:pPr>
        <w:pStyle w:val="Normal"/>
        <w:spacing w:lineRule="auto" w:line="240" w:before="0" w:after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Ordering of Equipment’s (Transformer, Power Cables, Cable ducts, etc)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Maintain Gross/Net Margins committed to Management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Coordination with design team / Suppliers / Customer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Focus on Cash Collection/Payment Reconciliation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Inventory Management WIP</w:t>
      </w:r>
    </w:p>
    <w:p>
      <w:pPr>
        <w:pStyle w:val="Normal"/>
        <w:numPr>
          <w:ilvl w:val="0"/>
          <w:numId w:val="2"/>
        </w:numPr>
        <w:spacing w:lineRule="auto" w:line="240" w:before="40" w:after="40"/>
        <w:jc w:val="both"/>
        <w:rPr>
          <w:rFonts w:ascii="Verdana" w:hAnsi="Verdana" w:cs="Arial"/>
          <w:color w:val="000000"/>
          <w:sz w:val="17"/>
          <w:szCs w:val="17"/>
          <w:u w:val="single"/>
          <w:lang w:val="en-GB"/>
        </w:rPr>
      </w:pPr>
      <w:r>
        <w:rPr>
          <w:rFonts w:cs="Verdana" w:ascii="Verdana" w:hAnsi="Verdana"/>
          <w:sz w:val="17"/>
          <w:szCs w:val="17"/>
        </w:rPr>
        <w:t>Preparing MIS</w:t>
      </w:r>
    </w:p>
    <w:p>
      <w:pPr>
        <w:pStyle w:val="Normal"/>
        <w:spacing w:lineRule="auto" w:line="240" w:before="40" w:after="40"/>
        <w:rPr>
          <w:rFonts w:ascii="Verdana" w:hAnsi="Verdana" w:cs="Arial"/>
          <w:color w:val="000000"/>
          <w:sz w:val="17"/>
          <w:szCs w:val="17"/>
          <w:u w:val="single"/>
          <w:lang w:val="en-GB"/>
        </w:rPr>
      </w:pPr>
      <w:r>
        <w:rPr>
          <w:rFonts w:cs="Arial" w:ascii="Verdana" w:hAnsi="Verdana"/>
          <w:color w:val="000000"/>
          <w:sz w:val="17"/>
          <w:szCs w:val="17"/>
          <w:u w:val="single"/>
          <w:lang w:val="en-GB"/>
        </w:rPr>
      </w:r>
    </w:p>
    <w:p>
      <w:pPr>
        <w:pStyle w:val="Normal"/>
        <w:numPr>
          <w:ilvl w:val="0"/>
          <w:numId w:val="4"/>
        </w:numPr>
        <w:spacing w:lineRule="auto" w:line="240" w:before="40" w:after="40"/>
        <w:rPr>
          <w:rFonts w:ascii="Verdana" w:hAnsi="Verdana" w:cs="Arial"/>
          <w:b/>
          <w:b/>
          <w:color w:val="000000"/>
          <w:sz w:val="17"/>
          <w:szCs w:val="17"/>
          <w:u w:val="single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u w:val="single"/>
          <w:lang w:val="en-GB"/>
        </w:rPr>
        <w:t>Emirates Technical Associates- Power Projects Division, Abu Dhabi</w:t>
      </w:r>
    </w:p>
    <w:p>
      <w:pPr>
        <w:pStyle w:val="Normal"/>
        <w:spacing w:lineRule="auto" w:line="240" w:before="40" w:after="4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  <w:t>Sept’08-Nov’11</w:t>
        <w:tab/>
        <w:tab/>
        <w:tab/>
        <w:tab/>
        <w:t>Engineer (Procurement)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i/>
          <w:sz w:val="17"/>
          <w:szCs w:val="17"/>
        </w:rPr>
        <w:t>Projects</w:t>
        <w:tab/>
        <w:tab/>
        <w:tab/>
        <w:t>:</w:t>
        <w:tab/>
        <w:tab/>
        <w:t xml:space="preserve">TRANSCO CONTRACT No. N-3273: Power Supply of Delma Island – Lot 1 132/11 kV </w:t>
      </w:r>
    </w:p>
    <w:p>
      <w:pPr>
        <w:pStyle w:val="Normal"/>
        <w:spacing w:lineRule="auto" w:line="240" w:before="0" w:after="0"/>
        <w:ind w:left="2016" w:hanging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Substations at Delma Island, 132 kV SUBSTATIONS at Shuweihat and associated works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2016" w:hanging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TRANSCO CONTRACT N5208: New 132/22kV Substation at Raha Beach-A, New 132/11kV Substations at E40 &amp; W41</w:t>
      </w:r>
    </w:p>
    <w:p>
      <w:pPr>
        <w:pStyle w:val="Normal"/>
        <w:spacing w:lineRule="auto" w:line="240" w:before="0" w:after="0"/>
        <w:ind w:left="2016" w:hanging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2016" w:hanging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TRANSCO CONTRACT NO. N-4263.1B: New 132/33kV GIS Substation in Khor Khwair</w:t>
      </w:r>
    </w:p>
    <w:p>
      <w:pPr>
        <w:pStyle w:val="Normal"/>
        <w:spacing w:lineRule="auto" w:line="240" w:before="0" w:after="0"/>
        <w:ind w:left="2016" w:hanging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UAE</w:t>
      </w:r>
    </w:p>
    <w:p>
      <w:pPr>
        <w:pStyle w:val="Normal"/>
        <w:spacing w:lineRule="auto" w:line="240" w:before="0" w:after="0"/>
        <w:ind w:left="2016" w:hanging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2016" w:hanging="0"/>
        <w:rPr/>
      </w:pPr>
      <w:r>
        <w:rPr>
          <w:rFonts w:cs="Verdana" w:ascii="Verdana" w:hAnsi="Verdana"/>
          <w:i/>
          <w:sz w:val="17"/>
          <w:szCs w:val="17"/>
        </w:rPr>
        <w:t xml:space="preserve">TRANSCO CONTRACT NO. N-4886: NEW 132/22 KV GRID STATION AT RAHA BEACH – B </w:t>
      </w:r>
    </w:p>
    <w:p>
      <w:pPr>
        <w:pStyle w:val="Normal"/>
        <w:spacing w:lineRule="auto" w:line="240" w:before="0" w:after="0"/>
        <w:ind w:left="2016" w:hanging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LOT -1 SUBSTATION WORK, UAE</w:t>
      </w:r>
    </w:p>
    <w:p>
      <w:pPr>
        <w:pStyle w:val="Normal"/>
        <w:spacing w:lineRule="auto" w:line="240" w:before="0" w:after="0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1728" w:firstLine="288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0" w:after="0"/>
        <w:ind w:left="1440" w:hanging="1425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 xml:space="preserve">Platform </w:t>
        <w:tab/>
        <w:t>:</w:t>
        <w:tab/>
        <w:tab/>
        <w:t xml:space="preserve">Supply, Design, Installation, Testing &amp; Commissioning of 132/22kV Substations, 132/11kV </w:t>
      </w:r>
    </w:p>
    <w:p>
      <w:pPr>
        <w:pStyle w:val="Normal"/>
        <w:spacing w:lineRule="auto" w:line="240" w:before="0" w:after="0"/>
        <w:ind w:left="1728" w:firstLine="288"/>
        <w:rPr/>
      </w:pPr>
      <w:r>
        <w:rPr>
          <w:rFonts w:cs="Verdana" w:ascii="Verdana" w:hAnsi="Verdana"/>
          <w:i/>
          <w:sz w:val="17"/>
          <w:szCs w:val="17"/>
        </w:rPr>
        <w:t>Substations &amp; 220/33kV Substations for TRANSCO.</w:t>
      </w:r>
    </w:p>
    <w:p>
      <w:pPr>
        <w:pStyle w:val="Normal"/>
        <w:spacing w:lineRule="auto" w:line="240" w:before="0" w:after="0"/>
        <w:ind w:left="1728" w:firstLine="288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Client</w:t>
        <w:tab/>
        <w:tab/>
        <w:tab/>
        <w:tab/>
        <w:t>:</w:t>
        <w:tab/>
        <w:tab/>
        <w:t>TRANSCO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i/>
          <w:sz w:val="17"/>
          <w:szCs w:val="17"/>
        </w:rPr>
        <w:t>Consultant</w:t>
        <w:tab/>
        <w:tab/>
        <w:t>:</w:t>
        <w:tab/>
        <w:tab/>
        <w:t>PB Power</w:t>
        <w:tab/>
        <w:t>/ Lahmeyer International / Mott MacDonald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  <w:t>Value</w:t>
        <w:tab/>
        <w:tab/>
        <w:tab/>
        <w:tab/>
        <w:t>:</w:t>
        <w:tab/>
        <w:tab/>
        <w:t>USD. 334 Million (Aggregate)</w:t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Verdana" w:hAnsi="Verdana" w:cs="Verdana"/>
          <w:i/>
          <w:i/>
          <w:sz w:val="17"/>
          <w:szCs w:val="17"/>
        </w:rPr>
      </w:pPr>
      <w:r>
        <w:rPr>
          <w:rFonts w:cs="Verdana" w:ascii="Verdana" w:hAnsi="Verdana"/>
          <w:i/>
          <w:sz w:val="17"/>
          <w:szCs w:val="17"/>
        </w:rPr>
      </w:r>
    </w:p>
    <w:p>
      <w:pPr>
        <w:pStyle w:val="Normal"/>
        <w:spacing w:lineRule="auto" w:line="240" w:before="0" w:after="0"/>
        <w:rPr/>
      </w:pPr>
      <w:r>
        <w:rPr>
          <w:rFonts w:cs="Verdana" w:ascii="Verdana" w:hAnsi="Verdana"/>
          <w:b/>
          <w:sz w:val="17"/>
          <w:szCs w:val="17"/>
        </w:rPr>
        <w:t>Project Deliverables:</w:t>
      </w:r>
    </w:p>
    <w:p>
      <w:pPr>
        <w:pStyle w:val="Normal"/>
        <w:spacing w:lineRule="auto" w:line="240" w:before="0" w:after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Study of Scope of Works Documents and Summarize the Procurement &amp; Services Deliverables of the Projects. Identifying Long Lead items and to prepare procurement plan to kick start the Procurement Activities.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Preparing and Monitoring of the Budget.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sz w:val="17"/>
          <w:szCs w:val="17"/>
        </w:rPr>
        <w:t>Responsible for Sending out RFQ (Request for Quotation), Evaluate offers, analyzing the data and issuing award recommendation for Placement of PO.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Negotiating with Vendors for better Payment Terms, Warranty and After Sales Services for the Supplied Products.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Preparation of Purchase Order considering Company Policies, Client’s Requirement’s &amp; Local Government Regulations and obtaining Purchase Order Acknowledgement from vendors.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Monitoring of the Purchase Order and to obtain delivery confirmation from vendor and ensuring the materials and equipments are arriving on time based on the Project requirement.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reducing cost in procurement of bulk materials by identifying alternate vendors without compromising on Quality and Delivery requirements of the Project.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sz w:val="17"/>
          <w:szCs w:val="17"/>
        </w:rPr>
        <w:t>Supporting/coordinating Logistic Operations based on the Delivery terms of the PO.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Responsible for reviewing Letter of credit.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Ensuring documentation as per Quality Management System of the Organization.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b/>
          <w:b/>
          <w:i/>
          <w:i/>
          <w:sz w:val="17"/>
          <w:szCs w:val="17"/>
          <w:u w:val="single"/>
        </w:rPr>
      </w:pPr>
      <w:r>
        <w:rPr>
          <w:rFonts w:cs="Verdana" w:ascii="Verdana" w:hAnsi="Verdana"/>
          <w:sz w:val="17"/>
          <w:szCs w:val="17"/>
        </w:rPr>
        <w:t>Ensuring to execute all the processes in accordance with organizational policy requirements.</w:t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i/>
          <w:i/>
          <w:sz w:val="17"/>
          <w:szCs w:val="17"/>
          <w:u w:val="single"/>
        </w:rPr>
      </w:pPr>
      <w:r>
        <w:rPr>
          <w:rFonts w:cs="Verdana" w:ascii="Verdana" w:hAnsi="Verdana"/>
          <w:b/>
          <w:i/>
          <w:sz w:val="17"/>
          <w:szCs w:val="17"/>
          <w:u w:val="single"/>
        </w:rPr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0"/>
        </w:numPr>
        <w:pBdr>
          <w:bottom w:val="double" w:sz="4" w:space="1" w:color="000000"/>
        </w:pBdr>
        <w:spacing w:lineRule="auto" w:line="240" w:before="40" w:after="40"/>
        <w:jc w:val="center"/>
        <w:outlineLvl w:val="0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  <w:t>ACADEMIA</w:t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color w:val="000000"/>
          <w:sz w:val="17"/>
          <w:szCs w:val="17"/>
          <w:lang w:val="en-GB"/>
        </w:rPr>
      </w:pPr>
      <w:r>
        <w:rPr>
          <w:rFonts w:cs="Verdana" w:ascii="Verdana" w:hAnsi="Verdana"/>
          <w:b/>
          <w:color w:val="000000"/>
          <w:sz w:val="17"/>
          <w:szCs w:val="17"/>
          <w:lang w:val="en-GB"/>
        </w:rPr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2008</w:t>
        <w:tab/>
        <w:tab/>
        <w:tab/>
      </w:r>
      <w:r>
        <w:rPr>
          <w:rFonts w:cs="Verdana" w:ascii="Verdana" w:hAnsi="Verdana"/>
          <w:b/>
          <w:sz w:val="17"/>
          <w:szCs w:val="17"/>
        </w:rPr>
        <w:t>B.E (Electrical &amp; Electronics)</w:t>
      </w:r>
      <w:r>
        <w:rPr>
          <w:rFonts w:cs="Verdana" w:ascii="Verdana" w:hAnsi="Verdana"/>
          <w:sz w:val="17"/>
          <w:szCs w:val="17"/>
        </w:rPr>
        <w:t xml:space="preserve"> from Anna University, Chennai with </w:t>
      </w:r>
      <w:r>
        <w:rPr>
          <w:rFonts w:cs="Verdana" w:ascii="Verdana" w:hAnsi="Verdana"/>
          <w:b/>
          <w:sz w:val="17"/>
          <w:szCs w:val="17"/>
        </w:rPr>
        <w:t>76% with First Class distinction</w:t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i/>
          <w:i/>
          <w:sz w:val="17"/>
          <w:szCs w:val="17"/>
        </w:rPr>
      </w:pPr>
      <w:r>
        <w:rPr>
          <w:rFonts w:cs="Verdana" w:ascii="Verdana" w:hAnsi="Verdana"/>
          <w:b/>
          <w:i/>
          <w:sz w:val="17"/>
          <w:szCs w:val="17"/>
        </w:rPr>
        <w:t>IT Forte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Software Package</w:t>
        <w:tab/>
        <w:tab/>
        <w:t>:</w:t>
        <w:tab/>
        <w:t>MS Office (Excel, Word, Power Point, Outlook)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Operating Systems</w:t>
        <w:tab/>
        <w:tab/>
        <w:t>:</w:t>
        <w:tab/>
        <w:t>Windows 7, Vista and XP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SAP Module</w:t>
        <w:tab/>
        <w:tab/>
        <w:tab/>
        <w:tab/>
        <w:t>:</w:t>
        <w:tab/>
        <w:t>SAP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numPr>
          <w:ilvl w:val="0"/>
          <w:numId w:val="0"/>
        </w:numPr>
        <w:pBdr>
          <w:bottom w:val="double" w:sz="4" w:space="1" w:color="000000"/>
        </w:pBdr>
        <w:spacing w:lineRule="auto" w:line="240" w:before="40" w:after="40"/>
        <w:jc w:val="center"/>
        <w:outlineLvl w:val="0"/>
        <w:rPr>
          <w:rFonts w:ascii="Verdana" w:hAnsi="Verdana" w:cs="Arial"/>
          <w:b/>
          <w:b/>
          <w:color w:val="000000"/>
          <w:sz w:val="17"/>
          <w:szCs w:val="17"/>
          <w:lang w:val="en-GB"/>
        </w:rPr>
      </w:pPr>
      <w:r>
        <w:rPr>
          <w:rFonts w:cs="Arial" w:ascii="Verdana" w:hAnsi="Verdana"/>
          <w:b/>
          <w:color w:val="000000"/>
          <w:sz w:val="17"/>
          <w:szCs w:val="17"/>
          <w:lang w:val="en-GB"/>
        </w:rPr>
        <w:t>PERSONAL SCAN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Date of Birth</w:t>
        <w:tab/>
        <w:tab/>
        <w:tab/>
        <w:t>:</w:t>
        <w:tab/>
        <w:t>26</w:t>
      </w:r>
      <w:r>
        <w:rPr>
          <w:rFonts w:cs="Verdana" w:ascii="Verdana" w:hAnsi="Verdana"/>
          <w:sz w:val="17"/>
          <w:szCs w:val="17"/>
          <w:vertAlign w:val="superscript"/>
        </w:rPr>
        <w:t>th</w:t>
      </w:r>
      <w:r>
        <w:rPr>
          <w:rFonts w:cs="Verdana" w:ascii="Verdana" w:hAnsi="Verdana"/>
          <w:sz w:val="17"/>
          <w:szCs w:val="17"/>
        </w:rPr>
        <w:t xml:space="preserve"> January, 1987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Nationality</w:t>
        <w:tab/>
        <w:tab/>
        <w:tab/>
        <w:t>:</w:t>
        <w:tab/>
        <w:t>Indian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Passport No.</w:t>
        <w:tab/>
        <w:tab/>
        <w:tab/>
        <w:t>:</w:t>
        <w:tab/>
        <w:t>M 3956813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Visa status</w:t>
        <w:tab/>
        <w:tab/>
        <w:tab/>
        <w:t>:</w:t>
        <w:tab/>
        <w:t>Employment Visa with Unlimited contract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Languages Known</w:t>
        <w:tab/>
        <w:t>:</w:t>
        <w:tab/>
        <w:t>English, Urdu, Hindi &amp; Tamil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Driving License</w:t>
        <w:tab/>
        <w:tab/>
        <w:t>:</w:t>
        <w:tab/>
        <w:t>UAE &amp; Indian Driving License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Address</w:t>
        <w:tab/>
        <w:tab/>
        <w:tab/>
        <w:tab/>
        <w:t>:</w:t>
        <w:tab/>
        <w:t>Khlifa Street, Abu Dhabi, UAE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Marital Status</w:t>
        <w:tab/>
        <w:tab/>
        <w:t>:</w:t>
        <w:tab/>
        <w:t>Married</w:t>
      </w:r>
    </w:p>
    <w:p>
      <w:pPr>
        <w:pStyle w:val="Normal"/>
        <w:spacing w:lineRule="auto" w:line="240" w:before="40" w:after="4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spacing w:lineRule="auto" w:line="240" w:before="40" w:after="40"/>
        <w:rPr>
          <w:rFonts w:ascii="Verdana" w:hAnsi="Verdana" w:cs="Verdana"/>
          <w:b/>
          <w:b/>
          <w:sz w:val="17"/>
          <w:szCs w:val="17"/>
          <w:u w:val="single"/>
        </w:rPr>
      </w:pPr>
      <w:r>
        <w:rPr>
          <w:rFonts w:cs="Verdana" w:ascii="Verdana" w:hAnsi="Verdana"/>
          <w:b/>
          <w:sz w:val="17"/>
          <w:szCs w:val="17"/>
          <w:u w:val="single"/>
        </w:rPr>
      </w:r>
    </w:p>
    <w:sectPr>
      <w:type w:val="nextPage"/>
      <w:pgSz w:w="12240" w:h="15840"/>
      <w:pgMar w:left="864" w:right="864" w:header="0" w:top="864" w:footer="0" w:bottom="864" w:gutter="0"/>
      <w:pgBorders w:display="allPages" w:offsetFrom="text">
        <w:top w:val="threeDEngrave" w:sz="12" w:space="19" w:color="000000"/>
        <w:left w:val="threeDEngrave" w:sz="12" w:space="19" w:color="000000"/>
        <w:bottom w:val="threeDEmboss" w:sz="12" w:space="19" w:color="000000"/>
        <w:right w:val="threeDEmboss" w:sz="12" w:space="19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Century Gothic"/>
        <w:lang w:val="en-GB"/>
      </w:rPr>
    </w:lvl>
  </w:abstractNum>
  <w:abstractNum w:abstractNumId="2">
    <w:lvl w:ilvl="0">
      <w:start w:val="5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7"/>
        <w:szCs w:val="17"/>
        <w:rFonts w:cs="Symbol"/>
        <w:lang w:val="en-GB"/>
      </w:rPr>
    </w:lvl>
  </w:abstractNum>
  <w:abstractNum w:abstractNumId="3">
    <w:lvl w:ilvl="0">
      <w:start w:val="5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eastAsia="Century Gothic" w:cs="Century Gothic"/>
      <w:lang w:val="en-GB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sz w:val="17"/>
      <w:szCs w:val="17"/>
      <w:lang w:val="en-GB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HeaderChar">
    <w:name w:val="Header Char"/>
    <w:qFormat/>
    <w:rPr>
      <w:rFonts w:ascii="Calibri" w:hAnsi="Calibri" w:eastAsia="Times New Roman" w:cs="Times New Roman"/>
    </w:rPr>
  </w:style>
  <w:style w:type="character" w:styleId="FooterChar">
    <w:name w:val="Footer Char"/>
    <w:qFormat/>
    <w:rPr>
      <w:rFonts w:ascii="Calibri" w:hAnsi="Calibri" w:eastAsia="Times New Roman" w:cs="Times New Roman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CommentReference">
    <w:name w:val="Comment Reference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>
      <w:sz w:val="20"/>
      <w:szCs w:val="20"/>
      <w:lang w:val="en-US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>
      <w:sz w:val="20"/>
      <w:szCs w:val="20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gurulla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2015-11-01T09:43:00Z</dcterms:created>
  <dc:creator>Gudiya</dc:creator>
  <dc:description/>
  <cp:keywords/>
  <dc:language>en-US</dc:language>
  <cp:lastModifiedBy>sagurulla</cp:lastModifiedBy>
  <cp:lastPrinted>2016-07-02T06:51:00Z</cp:lastPrinted>
  <dcterms:modified xsi:type="dcterms:W3CDTF">2016-11-20T14:32:00Z</dcterms:modified>
  <cp:revision>21</cp:revision>
  <dc:subject/>
  <dc:title>ABDUL AZEEZ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776970.000000000</vt:lpwstr>
  </property>
  <property fmtid="{D5CDD505-2E9C-101B-9397-08002B2CF9AE}" pid="3" name="ResumeDevelopmentListID">
    <vt:lpwstr>305278.000000000</vt:lpwstr>
  </property>
</Properties>
</file>