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cs="Calibri"/>
          <w:b/>
          <w:b/>
          <w:color w:val="595959"/>
          <w:sz w:val="28"/>
          <w:szCs w:val="28"/>
        </w:rPr>
      </w:pPr>
      <w:r>
        <w:rPr>
          <w:rFonts w:cs="Calibri"/>
          <w:b/>
          <w:color w:val="595959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652780</wp:posOffset>
            </wp:positionH>
            <wp:positionV relativeFrom="paragraph">
              <wp:posOffset>-106680</wp:posOffset>
            </wp:positionV>
            <wp:extent cx="2498725" cy="29438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color w:val="595959"/>
          <w:sz w:val="28"/>
          <w:szCs w:val="28"/>
        </w:rPr>
        <w:tab/>
      </w:r>
      <w:r>
        <w:rPr>
          <w:rFonts w:cs="Calibri"/>
          <w:b/>
          <w:color w:val="595959"/>
          <w:sz w:val="28"/>
          <w:szCs w:val="28"/>
        </w:rPr>
        <w:tab/>
        <w:tab/>
        <w:tab/>
        <w:tab/>
        <w:tab/>
        <w:tab/>
      </w:r>
      <w:r>
        <w:rPr>
          <w:rFonts w:cs="Calibri"/>
          <w:b/>
          <w:color w:val="595959"/>
          <w:sz w:val="24"/>
          <w:szCs w:val="24"/>
        </w:rPr>
        <w:t>Attila László Joó, PhD</w:t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595959"/>
          <w:sz w:val="24"/>
          <w:szCs w:val="24"/>
        </w:rPr>
        <w:tab/>
        <w:tab/>
        <w:tab/>
        <w:tab/>
        <w:tab/>
        <w:tab/>
        <w:tab/>
      </w:r>
      <w:r>
        <w:rPr>
          <w:rFonts w:cs="Calibri"/>
          <w:i/>
          <w:color w:val="595959"/>
          <w:sz w:val="24"/>
          <w:szCs w:val="24"/>
        </w:rPr>
        <w:t>External advisor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  <w:tab/>
        <w:tab/>
        <w:tab/>
        <w:tab/>
        <w:tab/>
        <w:tab/>
        <w:tab/>
        <w:t>PhD Civil Engineer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Present 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Assistant professor, BME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1111 Budapest, Bertalan L. 2. Z./IX.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Tel.:  +36/1/463-17-79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Fax.: +36/1/463-17-84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Email: ajoo@ce-os.eu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Qualification: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PhD in civil engineering, BME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Language: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English intermediate C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German elementary C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2008-</w:t>
        <w:tab/>
        <w:t>Assistant professor,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2004-2008</w:t>
        <w:tab/>
        <w:t>Assistant professor,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2001-2004</w:t>
        <w:tab/>
        <w:t>PhD student,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Research field: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/>
      </w:pPr>
      <w:r>
        <w:rPr>
          <w:sz w:val="24"/>
          <w:szCs w:val="24"/>
          <w:lang w:val="en-GB"/>
        </w:rPr>
        <w:t>Experimental and numerical analysis of thin-walled steel structures. Stability analysis of arch bridges. Numerical modelling of steel joints. Virtual experiments based design. Earthquake analysis.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Professional skill: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/>
      </w:pPr>
      <w:r>
        <w:rPr>
          <w:sz w:val="24"/>
          <w:szCs w:val="24"/>
          <w:lang w:val="en-GB"/>
        </w:rPr>
        <w:t>Industrial, design and research and development projects at the Department of Structural Engineering. Remarkable projects: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Dunaújváros Danube bridge – member of the co-designer team, M=1:34 scale model test 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M0 Highway bridge – member of the independent design team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Earthquake course for engineers, co-author of an Eurocode based book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Research projects: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2006-08</w:t>
        <w:tab/>
        <w:t>OTKA T062970, supervisor: Ádány, Sándor.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2006-08</w:t>
        <w:tab/>
        <w:t>TÉT project PORT-5/2005  (OMFB-01247/06): BME-Instituto Superior Téchnico, Lisbon.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2005-08</w:t>
        <w:tab/>
        <w:t>OTKA T049305, supervisor: Dunai, László.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2000-04</w:t>
        <w:tab/>
        <w:t xml:space="preserve">OM ALK 00074/2000 Ministry of Education R&amp;D project: </w:t>
      </w:r>
      <w:r>
        <w:rPr>
          <w:i/>
          <w:sz w:val="24"/>
          <w:szCs w:val="24"/>
          <w:lang w:val="en-GB"/>
        </w:rPr>
        <w:t>Development of Lindab lightweight building system</w:t>
      </w:r>
      <w:r>
        <w:rPr>
          <w:sz w:val="24"/>
          <w:szCs w:val="24"/>
          <w:lang w:val="en-GB"/>
        </w:rPr>
        <w:t>, supervisor: Dunai, László, industrial partner: Lindab Kft.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Awards and scholarship:</w:t>
      </w:r>
      <w:r>
        <w:rPr>
          <w:b/>
          <w:sz w:val="24"/>
          <w:szCs w:val="24"/>
          <w:lang w:val="en-GB"/>
        </w:rPr>
        <w:t xml:space="preserve"> 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2008</w:t>
        <w:tab/>
        <w:t>„Teaching of young researchers” award donated by the president of the BME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2008</w:t>
        <w:tab/>
        <w:t>Instituto Superior Téchnico, Lisbon, Portugal, supervisor: Dinar Camotim (2 months)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2003</w:t>
        <w:tab/>
        <w:t>Heriot-Watt University, Edinburgh, UK, supervisor: B. H. V. Topping  (2 months)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2002</w:t>
        <w:tab/>
        <w:t>Light Gauge Metal Structures – Recent Advances, Udine, Italy             (1 week)</w:t>
      </w:r>
    </w:p>
    <w:p>
      <w:pPr>
        <w:pStyle w:val="Normal"/>
        <w:spacing w:lineRule="auto" w:line="240" w:before="0" w:after="0"/>
        <w:rPr/>
      </w:pPr>
      <w:r>
        <w:rPr>
          <w:rFonts w:eastAsia="Calibri"/>
          <w:sz w:val="24"/>
          <w:szCs w:val="24"/>
          <w:lang w:val="en-GB"/>
        </w:rPr>
        <w:t xml:space="preserve">           </w:t>
      </w:r>
      <w:r>
        <w:rPr>
          <w:sz w:val="24"/>
          <w:szCs w:val="24"/>
          <w:lang w:val="en-GB"/>
        </w:rPr>
        <w:t>2001</w:t>
        <w:tab/>
        <w:tab/>
        <w:t xml:space="preserve">  Advanced Studies in Structural Engineering and CAE, Weimar, </w:t>
        <w:tab/>
        <w:tab/>
        <w:tab/>
        <w:tab/>
        <w:t xml:space="preserve">  Germany (2 weeks)</w:t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Main references: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er"/>
        <w:tabs>
          <w:tab w:val="left" w:pos="2835" w:leader="none"/>
        </w:tabs>
        <w:rPr/>
      </w:pPr>
      <w:r>
        <w:rPr>
          <w:sz w:val="24"/>
          <w:szCs w:val="24"/>
          <w:lang w:val="en-GB"/>
        </w:rPr>
        <w:tab/>
        <w:tab/>
        <w:tab/>
      </w:r>
      <w:r>
        <w:rPr>
          <w:lang w:val="en-GB"/>
        </w:rPr>
        <w:t>Date of Birth:</w:t>
        <w:tab/>
        <w:t>Budapest, 17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April 1978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ab/>
        <w:t>Nationality:</w:t>
        <w:tab/>
        <w:t>Hungarian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ab/>
        <w:t>Home Address:</w:t>
        <w:tab/>
        <w:t>H-1044 Budapest, Ady E. 16., Hungary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ab/>
        <w:t>E-mail:</w:t>
        <w:tab/>
        <w:tab/>
        <w:t>ajoo@ce-os.eu</w:t>
        <w:tab/>
        <w:tab/>
        <w:tab/>
        <w:tab/>
        <w:tab/>
        <w:tab/>
        <w:t>Phone number:</w:t>
        <w:tab/>
        <w:t>+36/30/210-27-54</w:t>
      </w:r>
    </w:p>
    <w:p>
      <w:pPr>
        <w:pStyle w:val="Header"/>
        <w:tabs>
          <w:tab w:val="left" w:pos="2835" w:leader="none"/>
        </w:tabs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Tahoma">
    <w:charset w:val="ee"/>
    <w:family w:val="swiss"/>
    <w:pitch w:val="variable"/>
  </w:font>
  <w:font w:name="Times New Roman">
    <w:charset w:val="ee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sz w:val="22"/>
      <w:szCs w:val="22"/>
      <w:lang w:val="hu-HU" w:eastAsia="zxx" w:bidi="ar-SA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cs="Times New Roman"/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autoSpaceDE w:val="false"/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CommentText">
    <w:name w:val="Comment Text"/>
    <w:basedOn w:val="Normal"/>
    <w:qFormat/>
    <w:pPr>
      <w:spacing w:lineRule="auto" w:line="240"/>
    </w:pPr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2009-12-18T02:43:00Z</dcterms:created>
  <dc:creator>iza</dc:creator>
  <dc:description/>
  <dc:language>en-US</dc:language>
  <cp:lastModifiedBy>tamas</cp:lastModifiedBy>
  <dcterms:modified xsi:type="dcterms:W3CDTF">2009-12-18T22:27:00Z</dcterms:modified>
  <cp:revision>10</cp:revision>
  <dc:subject/>
  <dc:title/>
</cp:coreProperties>
</file>