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 w:before="0" w:after="0"/>
        <w:rPr>
          <w:rFonts w:cs="Calibri"/>
          <w:b/>
          <w:b/>
          <w:color w:val="595959"/>
          <w:sz w:val="28"/>
          <w:szCs w:val="28"/>
        </w:rPr>
      </w:pPr>
      <w:r>
        <w:rPr>
          <w:rFonts w:cs="Calibri"/>
          <w:b/>
          <w:color w:val="595959"/>
          <w:sz w:val="28"/>
          <w:szCs w:val="28"/>
        </w:rPr>
        <w:tab/>
        <w:tab/>
        <w:tab/>
        <w:t xml:space="preserve">    </w:t>
      </w:r>
    </w:p>
    <w:p>
      <w:pPr>
        <w:pStyle w:val="Normal"/>
        <w:spacing w:lineRule="auto" w:line="240" w:before="0" w:after="0"/>
        <w:rPr/>
      </w:pPr>
      <w:r>
        <w:drawing>
          <wp:anchor behindDoc="1" distT="0" distB="0" distL="114935" distR="114935" simplePos="0" locked="0" layoutInCell="1" allowOverlap="1" relativeHeight="2">
            <wp:simplePos x="0" y="0"/>
            <wp:positionH relativeFrom="column">
              <wp:posOffset>-302260</wp:posOffset>
            </wp:positionH>
            <wp:positionV relativeFrom="page">
              <wp:posOffset>0</wp:posOffset>
            </wp:positionV>
            <wp:extent cx="3028950" cy="289496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/>
          <w:b/>
          <w:color w:val="595959"/>
          <w:sz w:val="28"/>
          <w:szCs w:val="28"/>
        </w:rPr>
        <w:tab/>
      </w:r>
      <w:r>
        <w:rPr>
          <w:rFonts w:cs="Calibri"/>
          <w:b/>
          <w:color w:val="595959"/>
          <w:sz w:val="28"/>
          <w:szCs w:val="28"/>
        </w:rPr>
        <w:tab/>
        <w:tab/>
        <w:tab/>
        <w:tab/>
        <w:tab/>
      </w:r>
      <w:r>
        <w:rPr>
          <w:rFonts w:cs="Calibri"/>
          <w:b/>
          <w:color w:val="595959"/>
          <w:sz w:val="24"/>
          <w:szCs w:val="24"/>
        </w:rPr>
        <w:t>Tamas Futo</w:t>
      </w:r>
    </w:p>
    <w:p>
      <w:pPr>
        <w:pStyle w:val="Normal"/>
        <w:spacing w:lineRule="auto" w:line="240" w:before="0" w:after="0"/>
        <w:rPr/>
      </w:pPr>
      <w:r>
        <w:rPr>
          <w:rFonts w:cs="Calibri"/>
          <w:b/>
          <w:color w:val="595959"/>
          <w:sz w:val="24"/>
          <w:szCs w:val="24"/>
        </w:rPr>
        <w:tab/>
        <w:tab/>
        <w:tab/>
        <w:tab/>
        <w:tab/>
        <w:tab/>
      </w:r>
      <w:r>
        <w:rPr>
          <w:rFonts w:cs="Calibri"/>
          <w:i/>
          <w:color w:val="595959"/>
          <w:sz w:val="24"/>
          <w:szCs w:val="24"/>
        </w:rPr>
        <w:t>Executive Civil engineer</w:t>
      </w:r>
    </w:p>
    <w:p>
      <w:pPr>
        <w:pStyle w:val="Normal"/>
        <w:spacing w:lineRule="auto" w:line="240" w:before="0" w:after="0"/>
        <w:rPr>
          <w:rFonts w:cs="Calibri"/>
          <w:i/>
          <w:i/>
          <w:color w:val="595959"/>
          <w:sz w:val="24"/>
          <w:szCs w:val="24"/>
        </w:rPr>
      </w:pPr>
      <w:r>
        <w:rPr>
          <w:rFonts w:cs="Calibri"/>
          <w:i/>
          <w:color w:val="595959"/>
          <w:sz w:val="24"/>
          <w:szCs w:val="24"/>
        </w:rPr>
        <w:tab/>
        <w:tab/>
        <w:tab/>
        <w:tab/>
        <w:tab/>
        <w:tab/>
        <w:t>MSC in Civil Engineering</w:t>
      </w:r>
    </w:p>
    <w:p>
      <w:pPr>
        <w:pStyle w:val="Normal"/>
        <w:spacing w:lineRule="auto" w:line="240" w:before="0" w:after="0"/>
        <w:rPr>
          <w:rFonts w:cs="Calibri"/>
          <w:i/>
          <w:i/>
          <w:color w:val="595959"/>
          <w:sz w:val="24"/>
          <w:szCs w:val="24"/>
        </w:rPr>
      </w:pPr>
      <w:r>
        <w:rPr>
          <w:rFonts w:cs="Calibri"/>
          <w:i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/>
          <w:color w:val="595959"/>
          <w:sz w:val="24"/>
          <w:szCs w:val="24"/>
        </w:rPr>
      </w:pPr>
      <w:r>
        <w:rPr>
          <w:rFonts w:cs="Calibri"/>
          <w:color w:val="595959"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Present workplace: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Civil Engineer, CEOS - Civil Engineering Optimal Solutions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H-1054 Budapest, Vértanúk tere 1., Hungary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Tel.:  +36 30 863 0427</w:t>
      </w:r>
    </w:p>
    <w:p>
      <w:pPr>
        <w:pStyle w:val="Header"/>
        <w:tabs>
          <w:tab w:val="left" w:pos="9072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Email: tfuto@ce-os.eu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Qualification: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MSc diploma in civil engineering, BME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Education:</w:t>
      </w:r>
    </w:p>
    <w:p>
      <w:pPr>
        <w:pStyle w:val="Header"/>
        <w:tabs>
          <w:tab w:val="left" w:pos="3970" w:leader="none"/>
        </w:tabs>
        <w:ind w:left="1985" w:right="0" w:hanging="1418"/>
        <w:jc w:val="both"/>
        <w:rPr/>
      </w:pPr>
      <w:r>
        <w:rPr>
          <w:sz w:val="24"/>
          <w:szCs w:val="24"/>
          <w:lang w:val="en-GB"/>
        </w:rPr>
        <w:t>1991-1995</w:t>
        <w:tab/>
      </w:r>
      <w:r>
        <w:rPr>
          <w:sz w:val="24"/>
          <w:lang w:val="en-GB"/>
        </w:rPr>
        <w:t>Technical Collage Schulek Frigyes– Budapest – (high-school graduation)</w:t>
      </w:r>
    </w:p>
    <w:p>
      <w:pPr>
        <w:pStyle w:val="Header"/>
        <w:tabs>
          <w:tab w:val="left" w:pos="3970" w:leader="none"/>
        </w:tabs>
        <w:ind w:left="1985" w:right="0" w:hanging="1418"/>
        <w:jc w:val="both"/>
        <w:rPr/>
      </w:pPr>
      <w:r>
        <w:rPr>
          <w:sz w:val="24"/>
          <w:szCs w:val="24"/>
          <w:lang w:val="en-GB"/>
        </w:rPr>
        <w:t>1995-1996</w:t>
        <w:tab/>
      </w:r>
      <w:r>
        <w:rPr>
          <w:sz w:val="24"/>
          <w:lang w:val="en-GB"/>
        </w:rPr>
        <w:t>Collage Schulek Frigyes – Budapest – (technician qualification)</w:t>
      </w:r>
    </w:p>
    <w:p>
      <w:pPr>
        <w:pStyle w:val="Header"/>
        <w:tabs>
          <w:tab w:val="left" w:pos="3970" w:leader="none"/>
        </w:tabs>
        <w:ind w:left="1985" w:right="0" w:hanging="141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1996 – 2002</w:t>
        <w:tab/>
        <w:t>Budapest University of Technology and Economics – Department of Structural Engineering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Language: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/>
      </w:pPr>
      <w:r>
        <w:rPr>
          <w:sz w:val="24"/>
          <w:szCs w:val="24"/>
          <w:lang w:val="en-GB"/>
        </w:rPr>
        <w:t>English intermediate C type language exam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Other qualification:</w:t>
      </w:r>
    </w:p>
    <w:p>
      <w:pPr>
        <w:pStyle w:val="Header"/>
        <w:tabs>
          <w:tab w:val="left" w:pos="1134" w:leader="none"/>
        </w:tabs>
        <w:ind w:left="567" w:right="0" w:hanging="0"/>
        <w:jc w:val="both"/>
        <w:rPr/>
      </w:pPr>
      <w:r>
        <w:rPr>
          <w:b/>
          <w:sz w:val="24"/>
          <w:szCs w:val="24"/>
          <w:lang w:val="en-GB"/>
        </w:rPr>
        <w:tab/>
      </w:r>
      <w:r>
        <w:rPr>
          <w:sz w:val="24"/>
          <w:lang w:val="en-GB"/>
        </w:rPr>
        <w:t>AutoCad, MathCad, ArchiCad, ADT</w:t>
      </w:r>
    </w:p>
    <w:p>
      <w:pPr>
        <w:pStyle w:val="Header"/>
        <w:tabs>
          <w:tab w:val="left" w:pos="1134" w:leader="none"/>
        </w:tabs>
        <w:ind w:left="567" w:right="0" w:hanging="0"/>
        <w:jc w:val="both"/>
        <w:rPr>
          <w:sz w:val="24"/>
          <w:lang w:val="en-GB"/>
        </w:rPr>
      </w:pPr>
      <w:r>
        <w:rPr>
          <w:sz w:val="24"/>
          <w:lang w:val="en-GB"/>
        </w:rPr>
        <w:tab/>
        <w:t>SteelExpress, Tekla, VB Express, SofiCad</w:t>
      </w:r>
    </w:p>
    <w:p>
      <w:pPr>
        <w:pStyle w:val="Header"/>
        <w:tabs>
          <w:tab w:val="left" w:pos="1134" w:leader="none"/>
        </w:tabs>
        <w:ind w:left="567" w:right="0" w:hanging="0"/>
        <w:jc w:val="both"/>
        <w:rPr>
          <w:sz w:val="24"/>
          <w:lang w:val="en-GB"/>
        </w:rPr>
      </w:pPr>
      <w:r>
        <w:rPr>
          <w:sz w:val="24"/>
          <w:lang w:val="en-GB"/>
        </w:rPr>
        <w:tab/>
        <w:t xml:space="preserve">Axis VM, Sesam GeniE, Staad </w:t>
      </w:r>
    </w:p>
    <w:p>
      <w:pPr>
        <w:pStyle w:val="Header"/>
        <w:tabs>
          <w:tab w:val="left" w:pos="1134" w:leader="none"/>
        </w:tabs>
        <w:ind w:left="567" w:right="0" w:hanging="0"/>
        <w:jc w:val="both"/>
        <w:rPr>
          <w:sz w:val="24"/>
          <w:lang w:val="en-GB"/>
        </w:rPr>
      </w:pPr>
      <w:r>
        <w:rPr>
          <w:sz w:val="24"/>
          <w:lang w:val="en-GB"/>
        </w:rPr>
        <w:tab/>
        <w:t>Microsoft Word, Microsoft Excel, PowerPoint</w:t>
      </w:r>
    </w:p>
    <w:p>
      <w:pPr>
        <w:pStyle w:val="Header"/>
        <w:tabs>
          <w:tab w:val="left" w:pos="1134" w:leader="none"/>
        </w:tabs>
        <w:ind w:left="567" w:right="0" w:hanging="0"/>
        <w:jc w:val="both"/>
        <w:rPr>
          <w:sz w:val="24"/>
          <w:lang w:val="en-GB"/>
        </w:rPr>
      </w:pPr>
      <w:r>
        <w:rPr>
          <w:sz w:val="24"/>
          <w:lang w:val="en-GB"/>
        </w:rPr>
        <w:tab/>
        <w:t>Driving license “B”</w:t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</w:r>
    </w:p>
    <w:p>
      <w:pPr>
        <w:pStyle w:val="Normal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Workplace: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/>
      </w:pPr>
      <w:r>
        <w:rPr>
          <w:lang w:val="en-GB"/>
        </w:rPr>
        <w:t>2009 –</w:t>
        <w:tab/>
        <w:t>CEOS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0"/>
        <w:jc w:val="both"/>
        <w:rPr/>
      </w:pPr>
      <w:r>
        <w:rPr>
          <w:lang w:val="en-GB"/>
        </w:rPr>
        <w:t>Position: civil engineer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>
          <w:lang w:val="en-GB"/>
        </w:rPr>
      </w:pPr>
      <w:r>
        <w:rPr>
          <w:lang w:val="en-GB"/>
        </w:rPr>
        <w:t>2007 – 2009</w:t>
        <w:tab/>
        <w:t>Aker Solutions MH AS (Norway)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0"/>
        <w:jc w:val="both"/>
        <w:rPr>
          <w:lang w:val="en-GB"/>
        </w:rPr>
      </w:pPr>
      <w:r>
        <w:rPr>
          <w:lang w:val="en-GB"/>
        </w:rPr>
        <w:t>Position: structural engineer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0"/>
        <w:jc w:val="both"/>
        <w:rPr>
          <w:lang w:val="en-GB"/>
        </w:rPr>
      </w:pPr>
      <w:r>
        <w:rPr>
          <w:lang w:val="en-GB"/>
        </w:rPr>
        <w:t>Main activities: analysis of load bearing steel offshore structures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>
          <w:lang w:val="en-GB"/>
        </w:rPr>
      </w:pPr>
      <w:r>
        <w:rPr>
          <w:lang w:val="en-GB"/>
        </w:rPr>
        <w:t xml:space="preserve">2003 – 2007  </w:t>
        <w:tab/>
        <w:t>Acélsárkány Engineering Ltd.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0"/>
        <w:jc w:val="both"/>
        <w:rPr>
          <w:lang w:val="en-GB"/>
        </w:rPr>
      </w:pPr>
      <w:r>
        <w:rPr>
          <w:lang w:val="en-GB"/>
        </w:rPr>
        <w:t>Position: structural engineer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0"/>
        <w:jc w:val="both"/>
        <w:rPr>
          <w:lang w:val="en-GB"/>
        </w:rPr>
      </w:pPr>
      <w:r>
        <w:rPr>
          <w:lang w:val="en-GB"/>
        </w:rPr>
        <w:t>Main activities: design and analysis conventional structures and special buildings made by thin-wall structures, checking telecommunication towers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>
          <w:lang w:val="en-GB"/>
        </w:rPr>
      </w:pPr>
      <w:r>
        <w:rPr>
          <w:lang w:val="en-GB"/>
        </w:rPr>
        <w:t xml:space="preserve">2002 – 2003  </w:t>
        <w:tab/>
        <w:t>Budapest University of Technology and Economics, Department of Structural Engineering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0"/>
        <w:jc w:val="both"/>
        <w:rPr>
          <w:lang w:val="en-GB"/>
        </w:rPr>
      </w:pPr>
      <w:r>
        <w:rPr>
          <w:lang w:val="en-GB"/>
        </w:rPr>
        <w:t>Position: engineering research assistant (civil service)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0"/>
        <w:jc w:val="both"/>
        <w:rPr>
          <w:lang w:val="en-GB"/>
        </w:rPr>
      </w:pPr>
      <w:r>
        <w:rPr>
          <w:lang w:val="en-GB"/>
        </w:rPr>
        <w:t>Main activities: researching thin-wall structures</w:t>
      </w:r>
    </w:p>
    <w:p>
      <w:pPr>
        <w:pStyle w:val="Heading3"/>
        <w:numPr>
          <w:ilvl w:val="2"/>
          <w:numId w:val="1"/>
        </w:numPr>
        <w:tabs>
          <w:tab w:val="clear" w:pos="2268"/>
        </w:tabs>
        <w:ind w:left="1701" w:right="0" w:hanging="1417"/>
        <w:jc w:val="both"/>
        <w:rPr>
          <w:lang w:val="en-GB"/>
        </w:rPr>
      </w:pPr>
      <w:r>
        <w:rPr>
          <w:lang w:val="en-GB"/>
        </w:rPr>
        <w:t xml:space="preserve">2001 – 2002  </w:t>
        <w:tab/>
        <w:t>Földvári Engineering Ltd. – professional practice</w:t>
      </w:r>
    </w:p>
    <w:p>
      <w:pPr>
        <w:pStyle w:val="Normal"/>
        <w:spacing w:before="0" w:after="0"/>
        <w:ind w:left="1701" w:right="0" w:hanging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>Main activities: design load bearing</w:t>
      </w:r>
      <w:r>
        <w:rPr>
          <w:rFonts w:cs="Times New Roman" w:ascii="Times New Roman" w:hAnsi="Times New Roman"/>
          <w:lang w:val="en-GB"/>
        </w:rPr>
        <w:t xml:space="preserve"> </w:t>
      </w:r>
      <w:r>
        <w:rPr>
          <w:rFonts w:cs="Times New Roman" w:ascii="Times New Roman" w:hAnsi="Times New Roman"/>
          <w:sz w:val="24"/>
          <w:lang w:val="en-GB"/>
        </w:rPr>
        <w:t>structures of offices and theatres made by steel and reinforced concrete  (Further co-operation until 2009)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sz w:val="24"/>
          <w:lang w:val="en-GB"/>
        </w:rPr>
        <w:t xml:space="preserve">     </w:t>
      </w:r>
      <w:r>
        <w:rPr>
          <w:rFonts w:cs="Times New Roman" w:ascii="Times New Roman" w:hAnsi="Times New Roman"/>
          <w:sz w:val="24"/>
          <w:lang w:val="en-GB"/>
        </w:rPr>
        <w:t>2000</w:t>
        <w:tab/>
        <w:t xml:space="preserve">     Pallér Ltd. – professional practice (construction)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"/>
        <w:rPr/>
      </w:pPr>
      <w:r>
        <w:rPr>
          <w:b/>
          <w:sz w:val="24"/>
          <w:szCs w:val="24"/>
          <w:u w:val="single"/>
          <w:lang w:val="en-GB"/>
        </w:rPr>
        <w:t>Publications:</w:t>
      </w:r>
    </w:p>
    <w:p>
      <w:pPr>
        <w:pStyle w:val="Normal"/>
        <w:numPr>
          <w:ilvl w:val="0"/>
          <w:numId w:val="2"/>
        </w:numPr>
        <w:tabs>
          <w:tab w:val="left" w:pos="-1562" w:leader="none"/>
        </w:tabs>
        <w:spacing w:lineRule="auto" w:line="240" w:before="0" w:after="0"/>
        <w:ind w:left="567" w:right="0" w:hanging="283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en-GB"/>
        </w:rPr>
        <w:t xml:space="preserve">Kaltenbach, L. – Kallo, M. – Dunai, L. – Futo, T: </w:t>
      </w:r>
      <w:r>
        <w:rPr>
          <w:rFonts w:cs="Times New Roman" w:ascii="Times New Roman" w:hAnsi="Times New Roman"/>
          <w:sz w:val="24"/>
          <w:szCs w:val="24"/>
          <w:lang w:val="en-GB"/>
        </w:rPr>
        <w:t>„220 kV composite insulator cross arm – Structural testing”– Experimental Report, Department of Structural Engineering, Budapest University of Technology and Economics (BME), 2006</w:t>
      </w:r>
    </w:p>
    <w:p>
      <w:pPr>
        <w:pStyle w:val="Normal"/>
        <w:numPr>
          <w:ilvl w:val="0"/>
          <w:numId w:val="2"/>
        </w:numPr>
        <w:tabs>
          <w:tab w:val="left" w:pos="-1562" w:leader="none"/>
        </w:tabs>
        <w:spacing w:lineRule="auto" w:line="240" w:before="0" w:after="0"/>
        <w:ind w:left="567" w:right="0" w:hanging="283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en-GB"/>
        </w:rPr>
        <w:t xml:space="preserve">Dunai – Futo – Kovacs: </w:t>
      </w:r>
      <w:r>
        <w:rPr>
          <w:rFonts w:cs="Times New Roman" w:ascii="Times New Roman" w:hAnsi="Times New Roman"/>
          <w:sz w:val="24"/>
          <w:szCs w:val="24"/>
          <w:lang w:val="en-GB"/>
        </w:rPr>
        <w:t>Development of LINDAB Small Building System –Research Report, Department of Structural Engineering, Budapest University of Technology and Economics (BME), 2004</w:t>
      </w:r>
    </w:p>
    <w:p>
      <w:pPr>
        <w:pStyle w:val="Normal"/>
        <w:numPr>
          <w:ilvl w:val="0"/>
          <w:numId w:val="2"/>
        </w:numPr>
        <w:tabs>
          <w:tab w:val="left" w:pos="-1562" w:leader="none"/>
        </w:tabs>
        <w:spacing w:lineRule="auto" w:line="240" w:before="0" w:after="0"/>
        <w:ind w:left="567" w:right="0" w:hanging="283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en-GB"/>
        </w:rPr>
        <w:t xml:space="preserve">Adany, S – Dunai, L – Futo, T – Kovacs, N: </w:t>
      </w:r>
      <w:r>
        <w:rPr>
          <w:rFonts w:cs="Times New Roman" w:ascii="Times New Roman" w:hAnsi="Times New Roman"/>
          <w:sz w:val="24"/>
          <w:szCs w:val="24"/>
          <w:lang w:val="en-GB"/>
        </w:rPr>
        <w:t>Development of LINDAB Familyline lightweight building system – Research Report, Department of Structural Engineering, Budapest University of Technology and Economics (BME), 2003</w:t>
      </w:r>
    </w:p>
    <w:p>
      <w:pPr>
        <w:pStyle w:val="Header"/>
        <w:tabs>
          <w:tab w:val="left" w:pos="4536" w:leader="none"/>
        </w:tabs>
        <w:ind w:left="2268" w:right="0" w:hanging="1701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</w:r>
    </w:p>
    <w:p>
      <w:pPr>
        <w:pStyle w:val="Normal"/>
        <w:suppressAutoHyphens w:val="true"/>
        <w:rPr>
          <w:b/>
          <w:b/>
          <w:sz w:val="24"/>
          <w:szCs w:val="24"/>
          <w:u w:val="single"/>
          <w:lang w:val="en-GB"/>
        </w:rPr>
      </w:pPr>
      <w:r>
        <w:rPr>
          <w:b/>
          <w:sz w:val="24"/>
          <w:szCs w:val="24"/>
          <w:u w:val="single"/>
          <w:lang w:val="en-GB"/>
        </w:rPr>
        <w:t>Main references:</w:t>
      </w:r>
    </w:p>
    <w:p>
      <w:pPr>
        <w:pStyle w:val="Header"/>
        <w:tabs>
          <w:tab w:val="left" w:pos="9072" w:leader="none"/>
        </w:tabs>
        <w:suppressAutoHyphens w:val="true"/>
        <w:ind w:left="2268" w:right="0" w:hanging="1701"/>
        <w:jc w:val="both"/>
        <w:rPr/>
      </w:pPr>
      <w:r>
        <w:rPr>
          <w:rFonts w:cs="Calibri"/>
          <w:sz w:val="24"/>
          <w:szCs w:val="24"/>
          <w:lang w:val="en-GB" w:eastAsia="ar-SA"/>
        </w:rPr>
        <w:t>Nanshan Cultural and Sport Centre, Shenzhen, (China)</w:t>
      </w:r>
    </w:p>
    <w:p>
      <w:pPr>
        <w:pStyle w:val="Header"/>
        <w:tabs>
          <w:tab w:val="left" w:pos="9072" w:leader="none"/>
        </w:tabs>
        <w:suppressAutoHyphens w:val="true"/>
        <w:ind w:left="2268" w:right="0" w:hanging="1701"/>
        <w:jc w:val="both"/>
        <w:rPr>
          <w:rFonts w:cs="Calibri"/>
          <w:sz w:val="24"/>
          <w:szCs w:val="24"/>
          <w:lang w:val="en-GB" w:eastAsia="ar-SA"/>
        </w:rPr>
      </w:pPr>
      <w:r>
        <w:rPr>
          <w:rFonts w:cs="Calibri"/>
          <w:sz w:val="24"/>
          <w:szCs w:val="24"/>
          <w:lang w:val="en-GB" w:eastAsia="ar-SA"/>
        </w:rPr>
        <w:t>TMT drillship and Odebrecht drillship (South Corea)</w:t>
      </w:r>
    </w:p>
    <w:p>
      <w:pPr>
        <w:pStyle w:val="Header"/>
        <w:tabs>
          <w:tab w:val="left" w:pos="9072" w:leader="none"/>
        </w:tabs>
        <w:suppressAutoHyphens w:val="true"/>
        <w:ind w:left="2268" w:right="0" w:hanging="1701"/>
        <w:jc w:val="both"/>
        <w:rPr>
          <w:rFonts w:cs="Calibri"/>
          <w:sz w:val="24"/>
          <w:szCs w:val="24"/>
          <w:lang w:val="en-GB" w:eastAsia="ar-SA"/>
        </w:rPr>
      </w:pPr>
      <w:r>
        <w:rPr>
          <w:rFonts w:cs="Calibri"/>
          <w:sz w:val="24"/>
          <w:szCs w:val="24"/>
          <w:lang w:val="en-GB" w:eastAsia="ar-SA"/>
        </w:rPr>
        <w:t>Frigstad ramrig /Scarabeo 8/,  (Norway)</w:t>
      </w:r>
    </w:p>
    <w:p>
      <w:pPr>
        <w:pStyle w:val="Header"/>
        <w:tabs>
          <w:tab w:val="left" w:pos="9072" w:leader="none"/>
        </w:tabs>
        <w:suppressAutoHyphens w:val="true"/>
        <w:ind w:left="2268" w:right="0" w:hanging="1701"/>
        <w:jc w:val="both"/>
        <w:rPr>
          <w:rFonts w:cs="Calibri"/>
          <w:sz w:val="24"/>
          <w:szCs w:val="24"/>
          <w:lang w:val="en-GB" w:eastAsia="ar-SA"/>
        </w:rPr>
      </w:pPr>
      <w:r>
        <w:rPr>
          <w:rFonts w:cs="Calibri"/>
          <w:sz w:val="24"/>
          <w:szCs w:val="24"/>
          <w:lang w:val="en-GB" w:eastAsia="ar-SA"/>
        </w:rPr>
        <w:t>Dubai International Airport  –  baggage handling system (Dubai)</w:t>
      </w:r>
    </w:p>
    <w:p>
      <w:pPr>
        <w:pStyle w:val="Header"/>
        <w:tabs>
          <w:tab w:val="left" w:pos="9072" w:leader="none"/>
        </w:tabs>
        <w:suppressAutoHyphens w:val="true"/>
        <w:ind w:left="2268" w:right="0" w:hanging="1701"/>
        <w:jc w:val="both"/>
        <w:rPr>
          <w:rFonts w:cs="Calibri"/>
          <w:sz w:val="24"/>
          <w:szCs w:val="24"/>
          <w:lang w:val="en-GB" w:eastAsia="ar-SA"/>
        </w:rPr>
      </w:pPr>
      <w:r>
        <w:rPr>
          <w:rFonts w:cs="Calibri"/>
          <w:sz w:val="24"/>
          <w:szCs w:val="24"/>
          <w:lang w:val="en-GB" w:eastAsia="ar-SA"/>
        </w:rPr>
        <w:t>Pannonhalma Abbey Visitors Centre (Pannonhalma)</w:t>
      </w:r>
    </w:p>
    <w:p>
      <w:pPr>
        <w:pStyle w:val="Header"/>
        <w:tabs>
          <w:tab w:val="left" w:pos="9072" w:leader="none"/>
        </w:tabs>
        <w:suppressAutoHyphens w:val="true"/>
        <w:ind w:left="2268" w:right="0" w:hanging="1701"/>
        <w:jc w:val="both"/>
        <w:rPr/>
      </w:pPr>
      <w:r>
        <w:rPr>
          <w:rFonts w:cs="Calibri"/>
          <w:sz w:val="24"/>
          <w:szCs w:val="24"/>
          <w:lang w:val="en-GB" w:eastAsia="ar-SA"/>
        </w:rPr>
        <w:t>Sasadliget Residential Park (Budapest)</w:t>
      </w:r>
    </w:p>
    <w:p>
      <w:pPr>
        <w:pStyle w:val="Header"/>
        <w:tabs>
          <w:tab w:val="left" w:pos="9072" w:leader="none"/>
        </w:tabs>
        <w:suppressAutoHyphens w:val="true"/>
        <w:ind w:left="2268" w:right="0" w:hanging="1701"/>
        <w:jc w:val="both"/>
        <w:rPr>
          <w:rFonts w:cs="Calibri"/>
          <w:sz w:val="24"/>
          <w:szCs w:val="24"/>
          <w:lang w:val="en-GB" w:eastAsia="ar-SA"/>
        </w:rPr>
      </w:pPr>
      <w:r>
        <w:rPr>
          <w:rFonts w:cs="Calibri"/>
          <w:sz w:val="24"/>
          <w:szCs w:val="24"/>
          <w:lang w:val="en-GB" w:eastAsia="ar-SA"/>
        </w:rPr>
        <w:t>Raiffeisen Bank office building in Budapest (Budapest)</w:t>
      </w:r>
    </w:p>
    <w:p>
      <w:pPr>
        <w:pStyle w:val="Header"/>
        <w:tabs>
          <w:tab w:val="left" w:pos="9072" w:leader="none"/>
        </w:tabs>
        <w:suppressAutoHyphens w:val="true"/>
        <w:ind w:left="2268" w:right="0" w:hanging="1701"/>
        <w:jc w:val="both"/>
        <w:rPr>
          <w:rFonts w:cs="Calibri"/>
          <w:sz w:val="24"/>
          <w:szCs w:val="24"/>
          <w:lang w:val="en-GB" w:eastAsia="ar-SA"/>
        </w:rPr>
      </w:pPr>
      <w:r>
        <w:rPr>
          <w:rFonts w:cs="Calibri"/>
          <w:sz w:val="24"/>
          <w:szCs w:val="24"/>
          <w:lang w:val="en-GB" w:eastAsia="ar-SA"/>
        </w:rPr>
        <w:t>MUPA /Festival Theatre part / (Budapest)</w:t>
      </w:r>
    </w:p>
    <w:p>
      <w:pPr>
        <w:pStyle w:val="Header"/>
        <w:tabs>
          <w:tab w:val="left" w:pos="9072" w:leader="none"/>
        </w:tabs>
        <w:suppressAutoHyphens w:val="true"/>
        <w:ind w:left="2268" w:right="0" w:hanging="1701"/>
        <w:jc w:val="both"/>
        <w:rPr>
          <w:rFonts w:cs="Calibri"/>
          <w:sz w:val="24"/>
          <w:szCs w:val="24"/>
          <w:lang w:val="en-GB" w:eastAsia="ar-SA"/>
        </w:rPr>
      </w:pPr>
      <w:r>
        <w:rPr>
          <w:rFonts w:cs="Calibri"/>
          <w:sz w:val="24"/>
          <w:szCs w:val="24"/>
          <w:lang w:val="en-GB" w:eastAsia="ar-SA"/>
        </w:rPr>
        <w:t>National Theatre of Hungary (Budapest)</w:t>
      </w:r>
    </w:p>
    <w:p>
      <w:pPr>
        <w:pStyle w:val="Normal"/>
        <w:spacing w:lineRule="auto" w:line="240" w:before="0" w:after="0"/>
        <w:rPr>
          <w:rFonts w:cs="Calibri"/>
          <w:sz w:val="24"/>
          <w:szCs w:val="24"/>
          <w:lang w:val="en-GB" w:eastAsia="ar-SA"/>
        </w:rPr>
      </w:pPr>
      <w:r>
        <w:rPr>
          <w:rFonts w:cs="Calibri"/>
          <w:sz w:val="24"/>
          <w:szCs w:val="24"/>
          <w:lang w:val="en-GB" w:eastAsia="ar-SA"/>
        </w:rPr>
      </w:r>
    </w:p>
    <w:p>
      <w:pPr>
        <w:pStyle w:val="Normal"/>
        <w:spacing w:lineRule="auto" w:line="240" w:before="0"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</w:r>
    </w:p>
    <w:p>
      <w:pPr>
        <w:pStyle w:val="Header"/>
        <w:tabs>
          <w:tab w:val="left" w:pos="2835" w:leader="none"/>
        </w:tabs>
        <w:rPr/>
      </w:pPr>
      <w:r>
        <w:rPr>
          <w:sz w:val="24"/>
          <w:szCs w:val="24"/>
          <w:lang w:val="en-GB"/>
        </w:rPr>
        <w:tab/>
      </w:r>
      <w:r>
        <w:rPr>
          <w:lang w:val="en-GB"/>
        </w:rPr>
        <w:t>Date of Birth:</w:t>
        <w:tab/>
        <w:t>Budapest, 26</w:t>
      </w:r>
      <w:r>
        <w:rPr>
          <w:vertAlign w:val="superscript"/>
          <w:lang w:val="en-GB"/>
        </w:rPr>
        <w:t>th</w:t>
      </w:r>
      <w:r>
        <w:rPr>
          <w:lang w:val="en-GB"/>
        </w:rPr>
        <w:t xml:space="preserve"> March 1977</w:t>
      </w:r>
    </w:p>
    <w:p>
      <w:pPr>
        <w:pStyle w:val="Header"/>
        <w:tabs>
          <w:tab w:val="left" w:pos="2835" w:leader="none"/>
        </w:tabs>
        <w:rPr/>
      </w:pPr>
      <w:r>
        <w:rPr>
          <w:lang w:val="en-GB"/>
        </w:rPr>
        <w:tab/>
        <w:t>Nationality:</w:t>
        <w:tab/>
        <w:t>Hungarian</w:t>
      </w:r>
    </w:p>
    <w:p>
      <w:pPr>
        <w:pStyle w:val="Header"/>
        <w:tabs>
          <w:tab w:val="left" w:pos="2835" w:leader="none"/>
        </w:tabs>
        <w:rPr/>
      </w:pPr>
      <w:r>
        <w:rPr>
          <w:lang w:val="en-GB"/>
        </w:rPr>
        <w:tab/>
        <w:t>Home Address:</w:t>
        <w:tab/>
        <w:t>H-1046 Budapest, Szent László tér 4-5. II/14., Hungary</w:t>
      </w:r>
    </w:p>
    <w:p>
      <w:pPr>
        <w:pStyle w:val="Header"/>
        <w:tabs>
          <w:tab w:val="left" w:pos="2835" w:leader="none"/>
        </w:tabs>
        <w:rPr/>
      </w:pPr>
      <w:r>
        <w:rPr>
          <w:lang w:val="en-GB"/>
        </w:rPr>
        <w:tab/>
        <w:t>Marital status:</w:t>
        <w:tab/>
        <w:t>Married</w:t>
      </w:r>
    </w:p>
    <w:p>
      <w:pPr>
        <w:pStyle w:val="Header"/>
        <w:tabs>
          <w:tab w:val="left" w:pos="2835" w:leader="none"/>
        </w:tabs>
        <w:rPr>
          <w:lang w:val="en-GB"/>
        </w:rPr>
      </w:pPr>
      <w:r>
        <w:rPr>
          <w:lang w:val="en-GB"/>
        </w:rPr>
        <w:tab/>
        <w:t>E-mail:</w:t>
        <w:tab/>
        <w:tab/>
        <w:t>tfuto@ce-os.eu</w:t>
      </w:r>
    </w:p>
    <w:p>
      <w:pPr>
        <w:pStyle w:val="Header"/>
        <w:tabs>
          <w:tab w:val="left" w:pos="2835" w:leader="none"/>
        </w:tabs>
        <w:rPr/>
      </w:pPr>
      <w:r>
        <w:rPr>
          <w:lang w:val="en-GB"/>
        </w:rPr>
        <w:tab/>
        <w:t>Phone number:</w:t>
        <w:tab/>
        <w:t>+36 30 863 0427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ee"/>
    <w:family w:val="swiss"/>
    <w:pitch w:val="variable"/>
  </w:font>
  <w:font w:name="Times New Roman">
    <w:charset w:val="ee"/>
    <w:family w:val="roman"/>
    <w:pitch w:val="variable"/>
  </w:font>
  <w:font w:name="Wingdings">
    <w:charset w:val="02"/>
    <w:family w:val="auto"/>
    <w:pitch w:val="variable"/>
  </w:font>
  <w:font w:name="Tahoma">
    <w:charset w:val="ee"/>
    <w:family w:val="swiss"/>
    <w:pitch w:val="variable"/>
  </w:font>
  <w:font w:name="Arial"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24"/>
        <w:szCs w:val="24"/>
        <w:rFonts w:cs="Wingdings"/>
        <w:lang w:val="en-GB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Calibri"/>
      <w:color w:val="auto"/>
      <w:sz w:val="22"/>
      <w:szCs w:val="22"/>
      <w:lang w:val="hu-HU" w:eastAsia="zxx" w:bidi="ar-SA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tabs>
        <w:tab w:val="left" w:pos="2268" w:leader="none"/>
      </w:tabs>
      <w:spacing w:lineRule="auto" w:line="240" w:before="0" w:after="0"/>
      <w:outlineLvl w:val="2"/>
    </w:pPr>
    <w:rPr>
      <w:rFonts w:ascii="Times New Roman" w:hAnsi="Times New Roman" w:cs="Times New Roman"/>
      <w:sz w:val="24"/>
      <w:szCs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  <w:sz w:val="24"/>
      <w:szCs w:val="24"/>
      <w:lang w:val="en-GB"/>
    </w:rPr>
  </w:style>
  <w:style w:type="character" w:styleId="AbsatzStandardschriftart">
    <w:name w:val="Absatz-Standardschriftart"/>
    <w:qFormat/>
    <w:rPr/>
  </w:style>
  <w:style w:type="character" w:styleId="DefaultParagraphFont">
    <w:name w:val="Default Paragraph Font"/>
    <w:qFormat/>
    <w:rPr/>
  </w:style>
  <w:style w:type="character" w:styleId="Heading3Char">
    <w:name w:val="Heading 3 Char"/>
    <w:basedOn w:val="DefaultParagraphFont"/>
    <w:qFormat/>
    <w:rPr>
      <w:rFonts w:ascii="Times New Roman" w:hAnsi="Times New Roman" w:cs="Times New Roman"/>
      <w:sz w:val="20"/>
      <w:szCs w:val="20"/>
      <w:lang w:val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>
    <w:name w:val="Header Char"/>
    <w:basedOn w:val="DefaultParagraphFont"/>
    <w:qFormat/>
    <w:rPr>
      <w:rFonts w:ascii="Times New Roman" w:hAnsi="Times New Roman" w:cs="Times New Roman"/>
      <w:sz w:val="20"/>
      <w:szCs w:val="20"/>
    </w:rPr>
  </w:style>
  <w:style w:type="character" w:styleId="TitleChar">
    <w:name w:val="Title Char"/>
    <w:basedOn w:val="DefaultParagraphFont"/>
    <w:qFormat/>
    <w:rPr>
      <w:rFonts w:ascii="Times New Roman" w:hAnsi="Times New Roman" w:cs="Times New Roman"/>
      <w:sz w:val="24"/>
      <w:szCs w:val="24"/>
    </w:rPr>
  </w:style>
  <w:style w:type="paragraph" w:styleId="Heading">
    <w:name w:val="Heading"/>
    <w:basedOn w:val="Normal"/>
    <w:next w:val="Subtitle"/>
    <w:qFormat/>
    <w:pPr>
      <w:autoSpaceDE w:val="false"/>
      <w:spacing w:lineRule="auto" w:line="240" w:before="0" w:after="0"/>
      <w:jc w:val="center"/>
    </w:pPr>
    <w:rPr>
      <w:rFonts w:ascii="Times New Roman" w:hAnsi="Times New Roman" w:cs="Times New Roman"/>
      <w:sz w:val="20"/>
      <w:szCs w:val="24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Tahoma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autoSpaceDE w:val="false"/>
      <w:spacing w:lineRule="auto" w:line="240" w:before="0" w:after="0"/>
    </w:pPr>
    <w:rPr>
      <w:rFonts w:ascii="Times New Roman" w:hAnsi="Times New Roman" w:cs="Times New Roman"/>
      <w:sz w:val="20"/>
      <w:szCs w:val="20"/>
    </w:rPr>
  </w:style>
  <w:style w:type="paragraph" w:styleId="Subtitle">
    <w:name w:val="Subtitle"/>
    <w:basedOn w:val="Cmsor"/>
    <w:next w:val="TextBody"/>
    <w:qFormat/>
    <w:pPr>
      <w:jc w:val="center"/>
    </w:pPr>
    <w:rPr>
      <w:i/>
      <w:iCs/>
      <w:sz w:val="28"/>
      <w:szCs w:val="28"/>
    </w:rPr>
  </w:style>
  <w:style w:type="paragraph" w:styleId="Brk">
    <w:name w:val="Ábrák"/>
    <w:basedOn w:val="Normal"/>
    <w:qFormat/>
    <w:pPr>
      <w:autoSpaceDE w:val="false"/>
      <w:spacing w:lineRule="auto" w:line="240" w:before="0" w:after="0"/>
      <w:jc w:val="center"/>
    </w:pPr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2009-12-08T18:37:00Z</dcterms:created>
  <dc:creator>iza</dc:creator>
  <dc:description/>
  <dc:language>en-US</dc:language>
  <cp:lastModifiedBy>tamas</cp:lastModifiedBy>
  <dcterms:modified xsi:type="dcterms:W3CDTF">2009-12-18T19:46:00Z</dcterms:modified>
  <cp:revision>16</cp:revision>
  <dc:subject/>
  <dc:title/>
</cp:coreProperties>
</file>