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"/>
        <w:ind w:left="2880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5810250</wp:posOffset>
            </wp:positionH>
            <wp:positionV relativeFrom="paragraph">
              <wp:posOffset>66349</wp:posOffset>
            </wp:positionV>
            <wp:extent cx="781050" cy="923925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Pradeep Kumar</w:t>
      </w:r>
    </w:p>
    <w:p>
      <w:pPr>
        <w:pStyle w:val="BodyText"/>
        <w:spacing w:before="4"/>
        <w:ind w:left="0"/>
        <w:rPr>
          <w:b/>
          <w:sz w:val="6"/>
        </w:rPr>
      </w:pPr>
    </w:p>
    <w:tbl>
      <w:tblPr>
        <w:tblW w:w="0" w:type="auto"/>
        <w:jc w:val="left"/>
        <w:tblInd w:w="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11"/>
        <w:gridCol w:w="3003"/>
      </w:tblGrid>
      <w:tr>
        <w:trPr>
          <w:trHeight w:val="1075" w:hRule="atLeast"/>
        </w:trPr>
        <w:tc>
          <w:tcPr>
            <w:tcW w:w="46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6" w:lineRule="exact"/>
              <w:ind w:left="108"/>
              <w:rPr>
                <w:sz w:val="22"/>
              </w:rPr>
            </w:pPr>
            <w:r>
              <w:rPr>
                <w:b/>
                <w:sz w:val="22"/>
              </w:rPr>
              <w:t>Contact No</w:t>
            </w:r>
            <w:r>
              <w:rPr>
                <w:sz w:val="22"/>
              </w:rPr>
              <w:t>. : +91-9999351902</w:t>
            </w:r>
          </w:p>
          <w:p>
            <w:pPr>
              <w:pStyle w:val="TableParagraph"/>
              <w:tabs>
                <w:tab w:pos="1240" w:val="left" w:leader="none"/>
              </w:tabs>
              <w:ind w:left="108"/>
              <w:rPr>
                <w:sz w:val="22"/>
              </w:rPr>
            </w:pPr>
            <w:r>
              <w:rPr>
                <w:b/>
                <w:sz w:val="22"/>
              </w:rPr>
              <w:t>E-Mail</w:t>
              <w:tab/>
              <w:t>:</w:t>
            </w:r>
            <w:r>
              <w:rPr>
                <w:b/>
                <w:spacing w:val="46"/>
                <w:sz w:val="22"/>
              </w:rPr>
              <w:t> </w:t>
            </w:r>
            <w:hyperlink r:id="rId6">
              <w:r>
                <w:rPr>
                  <w:sz w:val="22"/>
                </w:rPr>
                <w:t>er.pradeepymca@gmail.com</w:t>
              </w:r>
            </w:hyperlink>
          </w:p>
          <w:p>
            <w:pPr>
              <w:pStyle w:val="TableParagraph"/>
              <w:tabs>
                <w:tab w:pos="1243" w:val="left" w:leader="none"/>
              </w:tabs>
              <w:ind w:left="108"/>
              <w:rPr>
                <w:sz w:val="22"/>
              </w:rPr>
            </w:pPr>
            <w:r>
              <w:rPr>
                <w:b/>
                <w:sz w:val="22"/>
              </w:rPr>
              <w:t>Address</w:t>
              <w:tab/>
              <w:t>: </w:t>
            </w:r>
            <w:r>
              <w:rPr>
                <w:sz w:val="22"/>
              </w:rPr>
              <w:t>140, Mall Apartment, Mall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Road,</w:t>
            </w:r>
          </w:p>
          <w:p>
            <w:pPr>
              <w:pStyle w:val="TableParagraph"/>
              <w:spacing w:line="252" w:lineRule="exact"/>
              <w:ind w:left="1454"/>
              <w:rPr>
                <w:sz w:val="22"/>
              </w:rPr>
            </w:pPr>
            <w:r>
              <w:rPr>
                <w:sz w:val="22"/>
              </w:rPr>
              <w:t>New Delhi | 110054</w:t>
            </w:r>
          </w:p>
        </w:tc>
        <w:tc>
          <w:tcPr>
            <w:tcW w:w="30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6" w:lineRule="exact"/>
              <w:ind w:left="244"/>
              <w:rPr>
                <w:sz w:val="22"/>
              </w:rPr>
            </w:pPr>
            <w:r>
              <w:rPr>
                <w:sz w:val="22"/>
              </w:rPr>
              <w:t>Date of birth: March 28,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1982</w:t>
            </w:r>
          </w:p>
          <w:p>
            <w:pPr>
              <w:pStyle w:val="TableParagraph"/>
              <w:ind w:left="1245"/>
              <w:rPr>
                <w:sz w:val="22"/>
              </w:rPr>
            </w:pPr>
            <w:r>
              <w:rPr>
                <w:sz w:val="22"/>
              </w:rPr>
              <w:t>Nationality: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Indian</w:t>
            </w:r>
          </w:p>
        </w:tc>
      </w:tr>
    </w:tbl>
    <w:p>
      <w:pPr>
        <w:pStyle w:val="BodyText"/>
        <w:spacing w:before="2"/>
        <w:ind w:left="0"/>
        <w:rPr>
          <w:b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5.366641pt;width:454.3pt;height:17.9pt;mso-position-horizontal-relative:page;mso-position-vertical-relative:paragraph;z-index:-1024;mso-wrap-distance-left:0;mso-wrap-distance-right:0" type="#_x0000_t202" filled="true" fillcolor="#f1f1f1" stroked="false">
            <v:textbox inset="0,0,0,0">
              <w:txbxContent>
                <w:p>
                  <w:pPr>
                    <w:spacing w:before="2"/>
                    <w:ind w:left="3529" w:right="3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PROFILE SUMMARY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ind w:left="0"/>
        <w:rPr>
          <w:b/>
          <w:sz w:val="7"/>
        </w:rPr>
      </w:pPr>
    </w:p>
    <w:p>
      <w:pPr>
        <w:pStyle w:val="BodyText"/>
        <w:spacing w:line="276" w:lineRule="auto" w:before="52"/>
        <w:ind w:left="160" w:right="153"/>
        <w:jc w:val="both"/>
      </w:pPr>
      <w:r>
        <w:rPr/>
        <w:pict>
          <v:line style="position:absolute;mso-position-horizontal-relative:page;mso-position-vertical-relative:paragraph;z-index:1168" from="70.584pt,-23.294212pt" to="524.854pt,-23.29421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192" from="70.584pt,-4.934211pt" to="524.854pt,-4.934211pt" stroked="true" strokeweight=".48pt" strokecolor="#000000">
            <v:stroke dashstyle="solid"/>
            <w10:wrap type="none"/>
          </v:line>
        </w:pict>
      </w:r>
      <w:r>
        <w:rPr/>
        <w:t>An astute &amp; result oriented professional with nearly 7 Years of extensive field experience in Business Development, Sales &amp; Marketing, Product Promotion and Team Management, seeking assignments in Solar, Wind, waste to energy, waste management &amp; efficient lighting solution.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5" w:hanging="288"/>
        <w:jc w:val="left"/>
        <w:rPr>
          <w:sz w:val="24"/>
        </w:rPr>
      </w:pPr>
      <w:r>
        <w:rPr>
          <w:sz w:val="24"/>
        </w:rPr>
        <w:t>Proficient in expanding the business operations, sales &amp; marketing activities, promotion campaign, conferences and an efficient communicator to attain business</w:t>
      </w:r>
      <w:r>
        <w:rPr>
          <w:spacing w:val="-14"/>
          <w:sz w:val="24"/>
        </w:rPr>
        <w:t> </w:t>
      </w:r>
      <w:r>
        <w:rPr>
          <w:sz w:val="24"/>
        </w:rPr>
        <w:t>goals.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6" w:hanging="288"/>
        <w:jc w:val="left"/>
        <w:rPr>
          <w:sz w:val="24"/>
        </w:rPr>
      </w:pPr>
      <w:r>
        <w:rPr>
          <w:sz w:val="24"/>
        </w:rPr>
        <w:t>Flexible attitude to cope up with the changing situations and emerging with enhanced performance.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3" w:hanging="288"/>
        <w:jc w:val="left"/>
        <w:rPr>
          <w:sz w:val="24"/>
        </w:rPr>
      </w:pPr>
      <w:r>
        <w:rPr>
          <w:sz w:val="24"/>
        </w:rPr>
        <w:t>Strong acumen to identify and build relationship with architects, builders and Developing new clients and negotiating with them to secure profitable</w:t>
      </w:r>
      <w:r>
        <w:rPr>
          <w:spacing w:val="-9"/>
          <w:sz w:val="24"/>
        </w:rPr>
        <w:t> </w:t>
      </w:r>
      <w:r>
        <w:rPr>
          <w:sz w:val="24"/>
        </w:rPr>
        <w:t>business.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4" w:hanging="288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16" from="70.584pt,44.704453pt" to="524.854pt,44.704453pt" stroked="true" strokeweight=".48001pt" strokecolor="#000000">
            <v:stroke dashstyle="solid"/>
            <w10:wrap type="none"/>
          </v:line>
        </w:pict>
      </w:r>
      <w:r>
        <w:rPr>
          <w:sz w:val="24"/>
        </w:rPr>
        <w:t>Strong techno-commercial and financial knowledge to convert potential customer into Real</w:t>
      </w:r>
      <w:r>
        <w:rPr>
          <w:spacing w:val="-1"/>
          <w:sz w:val="24"/>
        </w:rPr>
        <w:t> </w:t>
      </w:r>
      <w:r>
        <w:rPr>
          <w:sz w:val="24"/>
        </w:rPr>
        <w:t>customer.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pict>
          <v:shape style="width:454.3pt;height:18.850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before="21"/>
                    <w:ind w:left="3531" w:right="3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FUNCTIONAL SKILLS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100" w:bottom="280" w:left="128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74" w:lineRule="exact" w:before="0" w:after="0"/>
        <w:ind w:left="880" w:right="0" w:hanging="73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40" from="70.584pt,-1.170005pt" to="524.854pt,-1.170005pt" stroked="true" strokeweight=".48001pt" strokecolor="#000000">
            <v:stroke dashstyle="solid"/>
            <w10:wrap type="none"/>
          </v:line>
        </w:pict>
      </w:r>
      <w:r>
        <w:rPr>
          <w:sz w:val="24"/>
        </w:rPr>
        <w:t>Business</w:t>
      </w:r>
      <w:r>
        <w:rPr>
          <w:spacing w:val="-4"/>
          <w:sz w:val="24"/>
        </w:rPr>
        <w:t> </w:t>
      </w:r>
      <w:r>
        <w:rPr>
          <w:sz w:val="24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5" w:after="0"/>
        <w:ind w:left="880" w:right="0" w:hanging="732"/>
        <w:jc w:val="left"/>
        <w:rPr>
          <w:sz w:val="24"/>
        </w:rPr>
      </w:pPr>
      <w:r>
        <w:rPr>
          <w:sz w:val="24"/>
        </w:rPr>
        <w:t>Marketing &amp;</w:t>
      </w:r>
      <w:r>
        <w:rPr>
          <w:spacing w:val="-1"/>
          <w:sz w:val="24"/>
        </w:rPr>
        <w:t> </w:t>
      </w:r>
      <w:r>
        <w:rPr>
          <w:sz w:val="24"/>
        </w:rPr>
        <w:t>Sales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44" w:after="0"/>
        <w:ind w:left="880" w:right="0" w:hanging="732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264" from="70.584pt,27.425798pt" to="524.854pt,27.425798pt" stroked="true" strokeweight=".479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288" from="70.584pt,44.585785pt" to="524.854pt,44.585785pt" stroked="true" strokeweight=".48001pt" strokecolor="#000000">
            <v:stroke dashstyle="solid"/>
            <w10:wrap type="none"/>
          </v:line>
        </w:pict>
      </w:r>
      <w:r>
        <w:rPr>
          <w:sz w:val="24"/>
        </w:rPr>
        <w:t>Government</w:t>
      </w:r>
      <w:r>
        <w:rPr>
          <w:spacing w:val="-3"/>
          <w:sz w:val="24"/>
        </w:rPr>
        <w:t> </w:t>
      </w:r>
      <w:r>
        <w:rPr>
          <w:sz w:val="24"/>
        </w:rPr>
        <w:t>Liaison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  <w:tab w:pos="576" w:val="left" w:leader="none"/>
        </w:tabs>
        <w:spacing w:line="274" w:lineRule="exact" w:before="0" w:after="0"/>
        <w:ind w:left="575" w:right="0" w:hanging="427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Financial</w:t>
      </w:r>
      <w:r>
        <w:rPr>
          <w:spacing w:val="-2"/>
          <w:sz w:val="24"/>
        </w:rPr>
        <w:t> </w:t>
      </w:r>
      <w:r>
        <w:rPr>
          <w:sz w:val="24"/>
        </w:rPr>
        <w:t>Modeling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  <w:tab w:pos="576" w:val="left" w:leader="none"/>
        </w:tabs>
        <w:spacing w:line="240" w:lineRule="auto" w:before="45" w:after="0"/>
        <w:ind w:left="575" w:right="0" w:hanging="427"/>
        <w:jc w:val="left"/>
        <w:rPr>
          <w:sz w:val="24"/>
        </w:rPr>
      </w:pPr>
      <w:r>
        <w:rPr>
          <w:sz w:val="24"/>
        </w:rPr>
        <w:t>Presentation &amp; Report</w:t>
      </w:r>
      <w:r>
        <w:rPr>
          <w:spacing w:val="1"/>
          <w:sz w:val="24"/>
        </w:rPr>
        <w:t> </w:t>
      </w:r>
      <w:r>
        <w:rPr>
          <w:sz w:val="24"/>
        </w:rPr>
        <w:t>writing</w:t>
      </w:r>
    </w:p>
    <w:p>
      <w:pPr>
        <w:pStyle w:val="ListParagraph"/>
        <w:numPr>
          <w:ilvl w:val="0"/>
          <w:numId w:val="2"/>
        </w:numPr>
        <w:tabs>
          <w:tab w:pos="575" w:val="left" w:leader="none"/>
          <w:tab w:pos="576" w:val="left" w:leader="none"/>
        </w:tabs>
        <w:spacing w:line="240" w:lineRule="auto" w:before="44" w:after="0"/>
        <w:ind w:left="575" w:right="0" w:hanging="427"/>
        <w:jc w:val="left"/>
        <w:rPr>
          <w:sz w:val="24"/>
        </w:rPr>
      </w:pPr>
      <w:r>
        <w:rPr>
          <w:sz w:val="24"/>
        </w:rPr>
        <w:t>Policy &amp; Market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100" w:bottom="280" w:left="128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3135" w:space="1814"/>
            <w:col w:w="4401"/>
          </w:cols>
        </w:sectPr>
      </w:pPr>
    </w:p>
    <w:p>
      <w:pPr>
        <w:pStyle w:val="BodyText"/>
        <w:spacing w:before="8"/>
        <w:ind w:left="0"/>
        <w:rPr>
          <w:sz w:val="17"/>
        </w:r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pict>
          <v:shape style="width:454.3pt;height:16.7pt;mso-position-horizontal-relative:char;mso-position-vertical-relative:line" type="#_x0000_t202" filled="true" fillcolor="#f1f1f1" stroked="false">
            <w10:anchorlock/>
            <v:textbox inset="0,0,0,0">
              <w:txbxContent>
                <w:p>
                  <w:pPr>
                    <w:spacing w:before="21"/>
                    <w:ind w:left="299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ORGANISATIONAL EXPERIENCE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ind w:left="0"/>
        <w:rPr>
          <w:sz w:val="11"/>
        </w:rPr>
      </w:pPr>
      <w:r>
        <w:rPr/>
        <w:pict>
          <v:shape style="position:absolute;margin-left:70.584pt;margin-top:8.040000pt;width:454.3pt;height:16.7pt;mso-position-horizontal-relative:page;mso-position-vertical-relative:paragraph;z-index:-952;mso-wrap-distance-left:0;mso-wrap-distance-right:0" type="#_x0000_t202" filled="true" fillcolor="#f1f1f1" stroked="false">
            <v:textbox inset="0,0,0,0">
              <w:txbxContent>
                <w:p>
                  <w:pPr>
                    <w:spacing w:before="21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Present | Vyom Power Pvt. Ltd. - Manager Business Development - Solar Projects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ind w:left="0"/>
        <w:rPr>
          <w:sz w:val="7"/>
        </w:rPr>
      </w:pPr>
    </w:p>
    <w:p>
      <w:pPr>
        <w:pStyle w:val="Heading1"/>
        <w:spacing w:before="52"/>
      </w:pPr>
      <w:r>
        <w:rPr/>
        <w:pict>
          <v:line style="position:absolute;mso-position-horizontal-relative:page;mso-position-vertical-relative:paragraph;z-index:1312" from="70.584pt,-22.094238pt" to="524.854pt,-22.094238pt" stroked="true" strokeweight=".4800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336" from="70.584pt,-4.934223pt" to="524.854pt,-4.934223pt" stroked="true" strokeweight=".47998pt" strokecolor="#000000">
            <v:stroke dashstyle="solid"/>
            <w10:wrap type="none"/>
          </v:line>
        </w:pict>
      </w:r>
      <w:r>
        <w:rPr/>
        <w:t>Key Result Areas:</w:t>
      </w:r>
    </w:p>
    <w:p>
      <w:pPr>
        <w:pStyle w:val="BodyText"/>
        <w:spacing w:line="276" w:lineRule="auto"/>
        <w:ind w:left="520" w:right="154"/>
        <w:jc w:val="both"/>
      </w:pPr>
      <w:r>
        <w:rPr/>
        <w:pict>
          <v:line style="position:absolute;mso-position-horizontal-relative:page;mso-position-vertical-relative:paragraph;z-index:1360" from="70.584pt,59.185764pt" to="524.854pt,59.185764pt" stroked="true" strokeweight=".48004pt" strokecolor="#000000">
            <v:stroke dashstyle="solid"/>
            <w10:wrap type="none"/>
          </v:line>
        </w:pict>
      </w:r>
      <w:r>
        <w:rPr/>
        <w:t>Identify new customers for solar power projects, Business Development in utility scale solar project and CAPEX &amp; OPEX concept of Rooftop Solar Plant, PPA finalization for RESCO Model, tendering &amp; bidding and non tender enquiries.</w:t>
      </w:r>
    </w:p>
    <w:p>
      <w:pPr>
        <w:pStyle w:val="BodyText"/>
        <w:spacing w:before="7"/>
        <w:ind w:left="0"/>
        <w:rPr>
          <w:sz w:val="12"/>
        </w:rPr>
      </w:pPr>
      <w:r>
        <w:rPr/>
        <w:pict>
          <v:shape style="position:absolute;margin-left:70.584pt;margin-top:8.881972pt;width:454.3pt;height:35.8pt;mso-position-horizontal-relative:page;mso-position-vertical-relative:paragraph;z-index:-928;mso-wrap-distance-left:0;mso-wrap-distance-right:0" type="#_x0000_t202" filled="true" fillcolor="#f1f1f1" stroked="false">
            <v:textbox inset="0,0,0,0">
              <w:txbxContent>
                <w:p>
                  <w:pPr>
                    <w:spacing w:line="278" w:lineRule="auto" w:before="18"/>
                    <w:ind w:left="2635" w:right="1421" w:hanging="2607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Since Oct’15 – May 2017 | Indian Renewable Energy Development Agency BD &amp; Project Engineer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ind w:left="0"/>
        <w:rPr>
          <w:sz w:val="7"/>
        </w:rPr>
      </w:pPr>
    </w:p>
    <w:p>
      <w:pPr>
        <w:pStyle w:val="Heading1"/>
        <w:spacing w:before="52"/>
      </w:pPr>
      <w:r>
        <w:rPr/>
        <w:pict>
          <v:line style="position:absolute;mso-position-horizontal-relative:page;mso-position-vertical-relative:paragraph;z-index:1384" from="70.584pt,-4.934213pt" to="524.854pt,-4.934213pt" stroked="true" strokeweight=".47998pt" strokecolor="#000000">
            <v:stroke dashstyle="solid"/>
            <w10:wrap type="none"/>
          </v:line>
        </w:pict>
      </w:r>
      <w:r>
        <w:rPr/>
        <w:t>Key Result Areas: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42" w:after="0"/>
        <w:ind w:left="448" w:right="153" w:hanging="288"/>
        <w:jc w:val="left"/>
        <w:rPr>
          <w:sz w:val="24"/>
        </w:rPr>
      </w:pPr>
      <w:r>
        <w:rPr>
          <w:sz w:val="24"/>
        </w:rPr>
        <w:t>Successfully expedited, contract negotiation, PPA finalisation and techno-commercial discussion with OEM’s supplier for 50 MW Solar project in Kasaragod,</w:t>
      </w:r>
      <w:r>
        <w:rPr>
          <w:spacing w:val="-5"/>
          <w:sz w:val="24"/>
        </w:rPr>
        <w:t> </w:t>
      </w:r>
      <w:r>
        <w:rPr>
          <w:sz w:val="24"/>
        </w:rPr>
        <w:t>Kerala.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3" w:lineRule="auto" w:before="2" w:after="0"/>
        <w:ind w:left="448" w:right="154" w:hanging="288"/>
        <w:jc w:val="left"/>
        <w:rPr>
          <w:sz w:val="24"/>
        </w:rPr>
      </w:pPr>
      <w:r>
        <w:rPr>
          <w:sz w:val="24"/>
        </w:rPr>
        <w:t>Carrying out in-depth market analysis of new projects, preliminary financial &amp; technical analysis, Project viability, financial modeling and tariff</w:t>
      </w:r>
      <w:r>
        <w:rPr>
          <w:spacing w:val="-5"/>
          <w:sz w:val="24"/>
        </w:rPr>
        <w:t> </w:t>
      </w:r>
      <w:r>
        <w:rPr>
          <w:sz w:val="24"/>
        </w:rPr>
        <w:t>calculations.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3" w:lineRule="auto" w:before="6" w:after="0"/>
        <w:ind w:left="448" w:right="154" w:hanging="288"/>
        <w:jc w:val="left"/>
        <w:rPr>
          <w:sz w:val="24"/>
        </w:rPr>
      </w:pPr>
      <w:r>
        <w:rPr>
          <w:sz w:val="24"/>
        </w:rPr>
        <w:t>Managed progress of Green Energy Commitment (GEC) status and submit updates to MNRE and</w:t>
      </w:r>
      <w:r>
        <w:rPr>
          <w:spacing w:val="-2"/>
          <w:sz w:val="24"/>
        </w:rPr>
        <w:t> </w:t>
      </w:r>
      <w:r>
        <w:rPr>
          <w:sz w:val="24"/>
        </w:rPr>
        <w:t>PMO.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1910" w:h="16840"/>
          <w:pgMar w:top="1100" w:bottom="280" w:left="1280" w:right="12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3" w:lineRule="auto" w:before="77" w:after="0"/>
        <w:ind w:left="448" w:right="160" w:hanging="288"/>
        <w:jc w:val="both"/>
        <w:rPr>
          <w:sz w:val="24"/>
        </w:rPr>
      </w:pPr>
      <w:r>
        <w:rPr>
          <w:sz w:val="24"/>
        </w:rPr>
        <w:t>Successfully handled promotional campaigns, seminars, conferences &amp; exhibitions and represent IREDA for focusing on solar market penetration and</w:t>
      </w:r>
      <w:r>
        <w:rPr>
          <w:spacing w:val="-16"/>
          <w:sz w:val="24"/>
        </w:rPr>
        <w:t> </w:t>
      </w:r>
      <w:r>
        <w:rPr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6" w:after="0"/>
        <w:ind w:left="448" w:right="153" w:hanging="288"/>
        <w:jc w:val="both"/>
        <w:rPr>
          <w:sz w:val="24"/>
        </w:rPr>
      </w:pPr>
      <w:r>
        <w:rPr>
          <w:sz w:val="24"/>
        </w:rPr>
        <w:t>Dealt with International Solar Alliance (ISA) participating countries Hon’ble Ministers, project developers and investors to disseminate and exchange assistance for Policy, Financing &amp; others issues for development in the unexploited solar</w:t>
      </w:r>
      <w:r>
        <w:rPr>
          <w:spacing w:val="-9"/>
          <w:sz w:val="24"/>
        </w:rPr>
        <w:t> </w:t>
      </w:r>
      <w:r>
        <w:rPr>
          <w:sz w:val="24"/>
        </w:rPr>
        <w:t>market.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4" w:hanging="288"/>
        <w:jc w:val="both"/>
        <w:rPr>
          <w:sz w:val="24"/>
        </w:rPr>
      </w:pPr>
      <w:r>
        <w:rPr>
          <w:sz w:val="24"/>
        </w:rPr>
        <w:t>Supervise and managed Renewable Energy Help Desk for dissemination of online information, support and services.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4" w:hanging="288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04" from="70.584pt,59.944443pt" to="524.854pt,59.944443pt" stroked="true" strokeweight=".48pt" strokecolor="#000000">
            <v:stroke dashstyle="solid"/>
            <w10:wrap type="none"/>
          </v:line>
        </w:pict>
      </w:r>
      <w:r>
        <w:rPr>
          <w:sz w:val="24"/>
        </w:rPr>
        <w:t>Preparation of presentations and technical reports, and other relevant documents with key data and insights for the target audience to effectively capture potential opportunities.</w:t>
      </w:r>
    </w:p>
    <w:p>
      <w:pPr>
        <w:pStyle w:val="BodyText"/>
        <w:spacing w:before="7"/>
        <w:ind w:left="0"/>
        <w:rPr>
          <w:sz w:val="12"/>
        </w:rPr>
      </w:pPr>
      <w:r>
        <w:rPr/>
        <w:pict>
          <v:shape style="position:absolute;margin-left:70.584pt;margin-top:8.920136pt;width:454.3pt;height:35.8pt;mso-position-horizontal-relative:page;mso-position-vertical-relative:paragraph;z-index:-640;mso-wrap-distance-left:0;mso-wrap-distance-right:0" type="#_x0000_t202" filled="true" fillcolor="#f1f1f1" stroked="false">
            <v:textbox inset="0,0,0,0">
              <w:txbxContent>
                <w:p>
                  <w:pPr>
                    <w:tabs>
                      <w:tab w:pos="2489" w:val="left" w:leader="none"/>
                      <w:tab w:pos="2909" w:val="left" w:leader="none"/>
                    </w:tabs>
                    <w:spacing w:line="278" w:lineRule="auto" w:before="18"/>
                    <w:ind w:left="2635" w:right="90" w:hanging="2607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Since July’10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–</w:t>
                  </w:r>
                  <w:r>
                    <w:rPr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Sept’15</w:t>
                    <w:tab/>
                    <w:t>|</w:t>
                    <w:tab/>
                    <w:tab/>
                    <w:t>Malana Power Company Ltd., Noida (Bhilwara Energy Group) Sr. Executive - Business Development &amp;</w:t>
                  </w:r>
                  <w:r>
                    <w:rPr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Marketing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ind w:left="0"/>
        <w:rPr>
          <w:sz w:val="9"/>
        </w:rPr>
      </w:pPr>
    </w:p>
    <w:p>
      <w:pPr>
        <w:pStyle w:val="Heading1"/>
        <w:spacing w:before="52"/>
      </w:pPr>
      <w:r>
        <w:rPr/>
        <w:pict>
          <v:line style="position:absolute;mso-position-horizontal-relative:page;mso-position-vertical-relative:paragraph;z-index:1528" from="70.584pt,-6.014224pt" to="524.854pt,-6.014224pt" stroked="true" strokeweight=".47998pt" strokecolor="#000000">
            <v:stroke dashstyle="solid"/>
            <w10:wrap type="none"/>
          </v:line>
        </w:pict>
      </w:r>
      <w:r>
        <w:rPr/>
        <w:t>Key Result Areas: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42" w:after="0"/>
        <w:ind w:left="448" w:right="158" w:hanging="288"/>
        <w:jc w:val="both"/>
        <w:rPr>
          <w:sz w:val="24"/>
        </w:rPr>
      </w:pPr>
      <w:r>
        <w:rPr>
          <w:sz w:val="24"/>
        </w:rPr>
        <w:t>Identify new industrial &amp; commercial Consumers, for power sale and achieving 109% annual sales target from 2011 to</w:t>
      </w:r>
      <w:r>
        <w:rPr>
          <w:spacing w:val="-9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60" w:hanging="288"/>
        <w:jc w:val="both"/>
        <w:rPr>
          <w:sz w:val="24"/>
        </w:rPr>
      </w:pPr>
      <w:r>
        <w:rPr>
          <w:sz w:val="24"/>
        </w:rPr>
        <w:t>Identified and devised a framework to minimize Deviation Account charges, thereby bringing in Rs. 67 Million worth additional revenue during 2011 -</w:t>
      </w:r>
      <w:r>
        <w:rPr>
          <w:spacing w:val="-7"/>
          <w:sz w:val="24"/>
        </w:rPr>
        <w:t> </w:t>
      </w:r>
      <w:r>
        <w:rPr>
          <w:sz w:val="24"/>
        </w:rPr>
        <w:t>2015.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4" w:hanging="288"/>
        <w:jc w:val="both"/>
        <w:rPr>
          <w:sz w:val="24"/>
        </w:rPr>
      </w:pPr>
      <w:r>
        <w:rPr>
          <w:sz w:val="24"/>
        </w:rPr>
        <w:t>Ensured billing and timely collection of payment from Discom’s, power traders and other customers.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1" w:after="0"/>
        <w:ind w:left="448" w:right="154" w:hanging="288"/>
        <w:jc w:val="both"/>
        <w:rPr>
          <w:sz w:val="24"/>
        </w:rPr>
      </w:pPr>
      <w:r>
        <w:rPr>
          <w:sz w:val="24"/>
        </w:rPr>
        <w:t>Negotiated and finalized contracts and PPAs with Commercial and Industrial consumers, private Discom’s and ensured timely delivery, thereby achieving 18% increased annual revenue during 2011-2015.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7" w:hanging="288"/>
        <w:jc w:val="both"/>
        <w:rPr>
          <w:sz w:val="24"/>
        </w:rPr>
      </w:pPr>
      <w:r>
        <w:rPr>
          <w:sz w:val="24"/>
        </w:rPr>
        <w:t>Execute real time trading strategy that maximizes profits and minimize levels of risk exposure of the inherent bilateral</w:t>
      </w:r>
      <w:r>
        <w:rPr>
          <w:spacing w:val="-5"/>
          <w:sz w:val="24"/>
        </w:rPr>
        <w:t> </w:t>
      </w:r>
      <w:r>
        <w:rPr>
          <w:sz w:val="24"/>
        </w:rPr>
        <w:t>contracts.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60" w:hanging="288"/>
        <w:jc w:val="both"/>
        <w:rPr>
          <w:sz w:val="24"/>
        </w:rPr>
      </w:pPr>
      <w:r>
        <w:rPr>
          <w:sz w:val="24"/>
        </w:rPr>
        <w:t>Ensured approval for a 10 MW Solar PV project worth Rs. 650 million from Bihar Renewable Energy Development Agency, under the power purchase agreement with Bihar Electricity Board.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76" w:lineRule="auto" w:before="0" w:after="0"/>
        <w:ind w:left="448" w:right="155" w:hanging="288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1552" from="70.584pt,59.824455pt" to="524.854pt,59.824455pt" stroked="true" strokeweight=".479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" from="70.584pt,76.984459pt" to="524.854pt,76.984459pt" stroked="true" strokeweight=".47998pt" strokecolor="#000000">
            <v:stroke dashstyle="solid"/>
            <w10:wrap type="none"/>
          </v:line>
        </w:pict>
      </w:r>
      <w:r>
        <w:rPr>
          <w:sz w:val="24"/>
        </w:rPr>
        <w:t>Expedited bidding &amp; tendering process, price negotiation, techno-commercial discussion with OEM’s, and land acquisition &amp; right of way for wind power projects capacity of 105 MW worth Rs. 8500 Million in Rajasthan, Maharashtra and</w:t>
      </w:r>
      <w:r>
        <w:rPr>
          <w:spacing w:val="-4"/>
          <w:sz w:val="24"/>
        </w:rPr>
        <w:t> </w:t>
      </w:r>
      <w:r>
        <w:rPr>
          <w:sz w:val="24"/>
        </w:rPr>
        <w:t>Gujarat.</w:t>
      </w:r>
    </w:p>
    <w:p>
      <w:pPr>
        <w:pStyle w:val="BodyText"/>
        <w:spacing w:before="7"/>
        <w:ind w:left="0"/>
        <w:rPr>
          <w:sz w:val="12"/>
        </w:rPr>
      </w:pPr>
      <w:r>
        <w:rPr/>
        <w:pict>
          <v:shape style="position:absolute;margin-left:70.584pt;margin-top:8.915351pt;width:454.3pt;height:16.7pt;mso-position-horizontal-relative:page;mso-position-vertical-relative:paragraph;z-index:-616;mso-wrap-distance-left:0;mso-wrap-distance-right:0" type="#_x0000_t202" filled="true" fillcolor="#f1f1f1" stroked="false">
            <v:textbox inset="0,0,0,0">
              <w:txbxContent>
                <w:p>
                  <w:pPr>
                    <w:spacing w:before="21"/>
                    <w:ind w:left="3530" w:right="3532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 DETAILS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8473"/>
      </w:tblGrid>
      <w:tr>
        <w:trPr>
          <w:trHeight w:val="289" w:hRule="atLeast"/>
        </w:trPr>
        <w:tc>
          <w:tcPr>
            <w:tcW w:w="655" w:type="dxa"/>
          </w:tcPr>
          <w:p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8473" w:type="dxa"/>
          </w:tcPr>
          <w:p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b/>
                <w:sz w:val="24"/>
              </w:rPr>
              <w:t>MBA (Power Management &amp; Marketing) </w:t>
            </w:r>
            <w:r>
              <w:rPr>
                <w:sz w:val="24"/>
              </w:rPr>
              <w:t>from YMCA University of Science &amp;</w:t>
            </w:r>
          </w:p>
        </w:tc>
      </w:tr>
      <w:tr>
        <w:trPr>
          <w:trHeight w:val="337" w:hRule="atLeast"/>
        </w:trPr>
        <w:tc>
          <w:tcPr>
            <w:tcW w:w="655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473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Technology, Faridabad with 7.9 CGPA.</w:t>
            </w:r>
          </w:p>
        </w:tc>
      </w:tr>
      <w:tr>
        <w:trPr>
          <w:trHeight w:val="335" w:hRule="atLeast"/>
        </w:trPr>
        <w:tc>
          <w:tcPr>
            <w:tcW w:w="655" w:type="dxa"/>
          </w:tcPr>
          <w:p>
            <w:pPr>
              <w:pStyle w:val="TableParagraph"/>
              <w:spacing w:line="292" w:lineRule="exact"/>
              <w:ind w:left="50"/>
              <w:rPr>
                <w:sz w:val="24"/>
              </w:rPr>
            </w:pPr>
            <w:r>
              <w:rPr>
                <w:sz w:val="24"/>
              </w:rPr>
              <w:t>2008</w:t>
            </w:r>
          </w:p>
        </w:tc>
        <w:tc>
          <w:tcPr>
            <w:tcW w:w="8473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B.Tech. (Electrical) </w:t>
            </w:r>
            <w:r>
              <w:rPr>
                <w:sz w:val="24"/>
              </w:rPr>
              <w:t>from YMCA Institute of Engineering, Faridabad with 61.58%.</w:t>
            </w:r>
          </w:p>
        </w:tc>
      </w:tr>
      <w:tr>
        <w:trPr>
          <w:trHeight w:val="337" w:hRule="atLeast"/>
        </w:trPr>
        <w:tc>
          <w:tcPr>
            <w:tcW w:w="655" w:type="dxa"/>
          </w:tcPr>
          <w:p>
            <w:pPr>
              <w:pStyle w:val="TableParagraph"/>
              <w:spacing w:line="292" w:lineRule="exact"/>
              <w:ind w:left="50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8473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b/>
                <w:sz w:val="24"/>
              </w:rPr>
              <w:t>Diploma (Instrumentation &amp; Control Engineering) </w:t>
            </w:r>
            <w:r>
              <w:rPr>
                <w:sz w:val="24"/>
              </w:rPr>
              <w:t>from Govt. Polytechnic, Hisar</w:t>
            </w:r>
          </w:p>
        </w:tc>
      </w:tr>
      <w:tr>
        <w:trPr>
          <w:trHeight w:val="289" w:hRule="atLeast"/>
        </w:trPr>
        <w:tc>
          <w:tcPr>
            <w:tcW w:w="655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473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with 61.03%.</w:t>
            </w:r>
          </w:p>
        </w:tc>
      </w:tr>
    </w:tbl>
    <w:p>
      <w:pPr>
        <w:pStyle w:val="BodyText"/>
        <w:spacing w:before="9"/>
        <w:ind w:left="0"/>
        <w:rPr>
          <w:sz w:val="14"/>
        </w:rPr>
      </w:pPr>
      <w:r>
        <w:rPr/>
        <w:pict>
          <v:shape style="position:absolute;margin-left:70.584pt;margin-top:10.2pt;width:454.3pt;height:16.7pt;mso-position-horizontal-relative:page;mso-position-vertical-relative:paragraph;z-index:-592;mso-wrap-distance-left:0;mso-wrap-distance-right:0" type="#_x0000_t202" filled="true" fillcolor="#f1f1f1" stroked="false">
            <v:textbox inset="0,0,0,0">
              <w:txbxContent>
                <w:p>
                  <w:pPr>
                    <w:spacing w:before="21"/>
                    <w:ind w:left="3531" w:right="3531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IT SKILLS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454.3pt;height:.5pt;mso-position-horizontal-relative:char;mso-position-vertical-relative:line" coordorigin="0,0" coordsize="9086,10">
            <v:line style="position:absolute" from="0,5" to="9085,5" stroked="true" strokeweight=".479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880" w:val="left" w:leader="none"/>
          <w:tab w:pos="881" w:val="left" w:leader="none"/>
        </w:tabs>
        <w:spacing w:line="240" w:lineRule="auto" w:before="120" w:after="0"/>
        <w:ind w:left="880" w:right="153" w:hanging="3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600" from="70.584pt,-18.69021pt" to="524.854pt,-18.69021pt" stroked="true" strokeweight=".47998pt" strokecolor="#000000">
            <v:stroke dashstyle="solid"/>
            <w10:wrap type="none"/>
          </v:line>
        </w:pict>
      </w:r>
      <w:r>
        <w:rPr>
          <w:sz w:val="24"/>
        </w:rPr>
        <w:t>Expert in MS Office Applications (Excel, Word, PowerPoint, Outlook), MS Projects, Internet application and</w:t>
      </w:r>
      <w:r>
        <w:rPr>
          <w:spacing w:val="-3"/>
          <w:sz w:val="24"/>
        </w:rPr>
        <w:t> </w:t>
      </w:r>
      <w:r>
        <w:rPr>
          <w:sz w:val="24"/>
        </w:rPr>
        <w:t>tools.</w:t>
      </w:r>
    </w:p>
    <w:p>
      <w:pPr>
        <w:pStyle w:val="BodyText"/>
        <w:spacing w:before="9"/>
        <w:ind w:left="0"/>
        <w:rPr>
          <w:sz w:val="21"/>
        </w:rPr>
      </w:pPr>
    </w:p>
    <w:p>
      <w:pPr>
        <w:spacing w:before="1"/>
        <w:ind w:left="4272" w:right="4271" w:firstLine="0"/>
        <w:jc w:val="center"/>
        <w:rPr>
          <w:sz w:val="22"/>
        </w:rPr>
      </w:pPr>
      <w:r>
        <w:rPr>
          <w:sz w:val="22"/>
        </w:rPr>
        <w:t>*******</w:t>
      </w:r>
    </w:p>
    <w:sectPr>
      <w:pgSz w:w="11910" w:h="16840"/>
      <w:pgMar w:top="1180" w:bottom="280" w:left="1280" w:right="12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880" w:hanging="732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105" w:hanging="732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330" w:hanging="732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1556" w:hanging="732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1781" w:hanging="732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2007" w:hanging="732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2232" w:hanging="732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2458" w:hanging="732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2683" w:hanging="732"/>
      </w:pPr>
      <w:rPr>
        <w:rFonts w:hint="default"/>
        <w:lang w:val="en-gb" w:eastAsia="en-gb" w:bidi="en-gb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48" w:hanging="288"/>
      </w:pPr>
      <w:rPr>
        <w:rFonts w:hint="default" w:ascii="Symbol" w:hAnsi="Symbol" w:eastAsia="Symbol" w:cs="Symbol"/>
        <w:w w:val="100"/>
        <w:sz w:val="24"/>
        <w:szCs w:val="24"/>
        <w:lang w:val="en-gb" w:eastAsia="en-gb" w:bidi="en-gb"/>
      </w:rPr>
    </w:lvl>
    <w:lvl w:ilvl="1">
      <w:start w:val="0"/>
      <w:numFmt w:val="bullet"/>
      <w:lvlText w:val=""/>
      <w:lvlJc w:val="left"/>
      <w:pPr>
        <w:ind w:left="880" w:hanging="360"/>
      </w:pPr>
      <w:rPr>
        <w:rFonts w:hint="default" w:ascii="Symbol" w:hAnsi="Symbol" w:eastAsia="Symbol" w:cs="Symbol"/>
        <w:w w:val="100"/>
        <w:sz w:val="22"/>
        <w:szCs w:val="22"/>
        <w:lang w:val="en-gb" w:eastAsia="en-gb" w:bidi="en-gb"/>
      </w:rPr>
    </w:lvl>
    <w:lvl w:ilvl="2">
      <w:start w:val="0"/>
      <w:numFmt w:val="bullet"/>
      <w:lvlText w:val="•"/>
      <w:lvlJc w:val="left"/>
      <w:pPr>
        <w:ind w:left="1820" w:hanging="360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2761" w:hanging="360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3702" w:hanging="360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4642" w:hanging="360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5583" w:hanging="360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6524" w:hanging="360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7464" w:hanging="360"/>
      </w:pPr>
      <w:rPr>
        <w:rFonts w:hint="default"/>
        <w:lang w:val="en-gb" w:eastAsia="en-gb" w:bidi="en-gb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gb" w:eastAsia="en-gb" w:bidi="en-gb"/>
    </w:rPr>
  </w:style>
  <w:style w:styleId="BodyText" w:type="paragraph">
    <w:name w:val="Body Text"/>
    <w:basedOn w:val="Normal"/>
    <w:uiPriority w:val="1"/>
    <w:qFormat/>
    <w:pPr>
      <w:ind w:left="448"/>
    </w:pPr>
    <w:rPr>
      <w:rFonts w:ascii="Calibri" w:hAnsi="Calibri" w:eastAsia="Calibri" w:cs="Calibri"/>
      <w:sz w:val="24"/>
      <w:szCs w:val="24"/>
      <w:lang w:val="en-gb" w:eastAsia="en-gb" w:bidi="en-gb"/>
    </w:rPr>
  </w:style>
  <w:style w:styleId="Heading1" w:type="paragraph">
    <w:name w:val="Heading 1"/>
    <w:basedOn w:val="Normal"/>
    <w:uiPriority w:val="1"/>
    <w:qFormat/>
    <w:pPr>
      <w:spacing w:before="21"/>
      <w:ind w:left="160"/>
      <w:outlineLvl w:val="1"/>
    </w:pPr>
    <w:rPr>
      <w:rFonts w:ascii="Calibri" w:hAnsi="Calibri" w:eastAsia="Calibri" w:cs="Calibri"/>
      <w:b/>
      <w:bCs/>
      <w:sz w:val="24"/>
      <w:szCs w:val="24"/>
      <w:lang w:val="en-gb" w:eastAsia="en-gb" w:bidi="en-gb"/>
    </w:rPr>
  </w:style>
  <w:style w:styleId="ListParagraph" w:type="paragraph">
    <w:name w:val="List Paragraph"/>
    <w:basedOn w:val="Normal"/>
    <w:uiPriority w:val="1"/>
    <w:qFormat/>
    <w:pPr>
      <w:ind w:left="448" w:right="154" w:hanging="288"/>
    </w:pPr>
    <w:rPr>
      <w:rFonts w:ascii="Calibri" w:hAnsi="Calibri" w:eastAsia="Calibri" w:cs="Calibri"/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ind w:left="114"/>
    </w:pPr>
    <w:rPr>
      <w:rFonts w:ascii="Calibri" w:hAnsi="Calibri" w:eastAsia="Calibri" w:cs="Calibri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r.pradeepymca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Saini</dc:creator>
  <dcterms:created xsi:type="dcterms:W3CDTF">2019-02-19T23:38:54Z</dcterms:created>
  <dcterms:modified xsi:type="dcterms:W3CDTF">2019-02-19T23:38:54Z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2019-02-19T00:00:00Z</vt:filetime>
  </property>
</Properties>
</file>