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VoltCart Internal Policy</w:t>
      </w:r>
    </w:p>
    <w:p>
      <w:pPr>
        <w:pStyle w:val="Title"/>
        <w:spacing w:after="1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Escalation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ID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P15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2026-01-01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 Escalations team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Precedence level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policy lists when a complaint must be escalated beyond an agent.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1. Triggers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	</w:t>
      </w:r>
      <w:r>
        <w:rPr>
          <w:rFonts w:ascii="Arial" w:cs="Arial" w:eastAsia="Arial" w:hAnsi="Arial"/>
          <w:sz w:val="22"/>
          <w:szCs w:val="22"/>
        </w:rPr>
        <w:t xml:space="preserve">Any safety incident, suspected fraud, data exposure, legal or media threat, chargeback, compensation demand above $50, or an issue reported 3+ times.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2. Handling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	</w:t>
      </w:r>
      <w:r>
        <w:rPr>
          <w:rFonts w:ascii="Arial" w:cs="Arial" w:eastAsia="Arial" w:hAnsi="Arial"/>
          <w:sz w:val="22"/>
          <w:szCs w:val="22"/>
        </w:rPr>
        <w:t xml:space="preserve">A Manager responds within 4 hours; legal/media threats and compensation above $50 go to an Admin within 24 hours.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VoltCart (fictional company) -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P15 | v1.0 | Active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2026-09-25T22:10:51.264Z</dcterms:created>
  <dcterms:modified xsi:type="dcterms:W3CDTF">2026-09-25T22:10:51.264Z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