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Account Security and Fraud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Security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covers account lockouts, unauthorized account changes, and suspected fraud. It is treated with the same urgency as safety incidents.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Immediate action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An unauthorized change or suspected fraud report is escalated to Account Security immediately, rated High or Critical.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	</w:t>
      </w:r>
      <w:r>
        <w:rPr>
          <w:rFonts w:ascii="Arial" w:cs="Arial" w:eastAsia="Arial" w:hAnsi="Arial"/>
          <w:sz w:val="22"/>
          <w:szCs w:val="22"/>
        </w:rPr>
        <w:t xml:space="preserve">No refund or account change is processed until the account owner is verified.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2. Customer guidance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	</w:t>
      </w:r>
      <w:r>
        <w:rPr>
          <w:rFonts w:ascii="Arial" w:cs="Arial" w:eastAsia="Arial" w:hAnsi="Arial"/>
          <w:sz w:val="22"/>
          <w:szCs w:val="22"/>
        </w:rPr>
        <w:t xml:space="preserve">Agents never ask for full card numbers, CVV codes, or passwords.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	</w:t>
      </w:r>
      <w:r>
        <w:rPr>
          <w:rFonts w:ascii="Arial" w:cs="Arial" w:eastAsia="Arial" w:hAnsi="Arial"/>
          <w:sz w:val="22"/>
          <w:szCs w:val="22"/>
        </w:rPr>
        <w:t xml:space="preserve">The customer is advised to change their password and check for other suspicious activity.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P10 | v1.0 | Active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2026-09-25T22:10:51.199Z</dcterms:created>
  <dcterms:modified xsi:type="dcterms:W3CDTF">2026-09-25T22:10:51.199Z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