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1A9CF37" w14:textId="035EB102" w:rsidP="00EA1614" w:rsidR="005F56B1" w:rsidRDefault="00E142AB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proofErr w:type="spellStart"/>
      <w:r>
        <w:rPr>
          <w:rFonts w:asciiTheme="majorHAnsi" w:hAnsiTheme="majorHAnsi"/>
          <w:b/>
          <w:color w:themeColor="text1" w:val="000000"/>
          <w:sz w:val="36"/>
          <w:szCs w:val="36"/>
        </w:rPr>
        <w:t>Suhaila</w:t>
      </w:r>
      <w:proofErr w:type="spellEnd"/>
      <w:r>
        <w:rPr>
          <w:rFonts w:asciiTheme="majorHAnsi" w:hAnsiTheme="majorHAnsi"/>
          <w:b/>
          <w:color w:themeColor="text1" w:val="000000"/>
          <w:sz w:val="36"/>
          <w:szCs w:val="36"/>
        </w:rPr>
        <w:t xml:space="preserve"> (Sue) </w:t>
      </w:r>
      <w:proofErr w:type="spellStart"/>
      <w:r>
        <w:rPr>
          <w:rFonts w:asciiTheme="majorHAnsi" w:hAnsiTheme="majorHAnsi"/>
          <w:b/>
          <w:color w:themeColor="text1" w:val="000000"/>
          <w:sz w:val="36"/>
          <w:szCs w:val="36"/>
        </w:rPr>
        <w:t>Amalanayagam</w:t>
      </w:r>
      <w:proofErr w:type="spellEnd"/>
    </w:p>
    <w:p w14:paraId="5A7F2D4C" w14:textId="20A84026" w:rsidP="00A14D63" w:rsidR="005F56B1" w:rsidRDefault="00E142AB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>
        <w:rPr>
          <w:rFonts w:asciiTheme="minorHAnsi" w:hAnsiTheme="minorHAnsi"/>
          <w:color w:themeColor="text1" w:val="000000"/>
          <w:sz w:val="22"/>
          <w:szCs w:val="22"/>
        </w:rPr>
        <w:t>Boston, MA 02113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2"/>
          <w:szCs w:val="22"/>
        </w:rPr>
        <w:t>929.421.5668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2"/>
          <w:szCs w:val="22"/>
        </w:rPr>
        <w:t>amalanas907@gmail.com</w:t>
      </w:r>
    </w:p>
    <w:p w14:paraId="5BF99EEA" w14:textId="5AF33BF8" w:rsidP="00D50033" w:rsidR="005F56B1" w:rsidRDefault="00CC03D3" w:rsidRPr="00234E5A">
      <w:pPr>
        <w:spacing w:after="80" w:before="80"/>
        <w:jc w:val="center"/>
        <w:rPr>
          <w:rFonts w:asciiTheme="majorHAnsi" w:hAnsiTheme="majorHAnsi"/>
          <w:b/>
          <w:color w:themeColor="text1" w:val="000000"/>
          <w:sz w:val="28"/>
          <w:szCs w:val="29"/>
        </w:rPr>
      </w:pPr>
      <w:r w:rsidRPr="00234E5A">
        <w:rPr>
          <w:rFonts w:asciiTheme="majorHAnsi" w:hAnsiTheme="majorHAnsi"/>
          <w:b/>
          <w:color w:themeColor="text1" w:val="000000"/>
          <w:sz w:val="28"/>
          <w:szCs w:val="29"/>
        </w:rPr>
        <w:t xml:space="preserve">Qualifications Profile </w:t>
      </w:r>
    </w:p>
    <w:p w14:paraId="12525CD7" w14:textId="15048EF8" w:rsidP="00586F84" w:rsidR="00563E5A" w:rsidRDefault="00CC03D3" w:rsidRPr="00234E5A">
      <w:pPr>
        <w:spacing w:after="0" w:line="264" w:lineRule="auto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Results-driven leader with transferrable expertise in finance and wealth management, including investment management, portfolio analysis, trend analysis, and risk management</w:t>
      </w:r>
      <w:r w:rsidR="00DA719E"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. 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Expertly analyze and synthesize data into actionable recommendations to improve financial performance. Adaptable, analytical, and focused on continuous improvement and growth. </w:t>
      </w:r>
    </w:p>
    <w:p w14:paraId="7CC051CF" w14:textId="77777777" w:rsidP="00234E5A" w:rsidR="00563E5A" w:rsidRDefault="00EA1614" w:rsidRPr="00234E5A">
      <w:pPr>
        <w:spacing w:after="80" w:before="80" w:line="264" w:lineRule="auto"/>
        <w:jc w:val="center"/>
        <w:rPr>
          <w:rFonts w:asciiTheme="minorHAnsi" w:hAnsiTheme="minorHAnsi"/>
          <w:b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359"/>
        <w:gridCol w:w="3362"/>
        <w:gridCol w:w="3359"/>
      </w:tblGrid>
      <w:tr w14:paraId="01A144B2" w14:textId="77777777" w:rsidR="000A15D0" w:rsidRPr="00234E5A" w:rsidTr="004306E2">
        <w:tc>
          <w:tcPr>
            <w:tcW w:type="dxa" w:w="3672"/>
            <w:shd w:color="auto" w:fill="auto" w:val="clear"/>
          </w:tcPr>
          <w:p w14:paraId="790F6AC1" w14:textId="030CEC54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>Portfolio &amp; Financial Analysis</w:t>
            </w:r>
          </w:p>
        </w:tc>
        <w:tc>
          <w:tcPr>
            <w:tcW w:type="dxa" w:w="3672"/>
            <w:shd w:color="auto" w:fill="auto" w:val="clear"/>
          </w:tcPr>
          <w:p w14:paraId="5F7F785B" w14:textId="0EC89856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Portfolio Management </w:t>
            </w:r>
          </w:p>
        </w:tc>
        <w:tc>
          <w:tcPr>
            <w:tcW w:type="dxa" w:w="3672"/>
            <w:shd w:color="auto" w:fill="auto" w:val="clear"/>
          </w:tcPr>
          <w:p w14:paraId="383919D8" w14:textId="498541BD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>Risk Management &amp; Reduction</w:t>
            </w:r>
          </w:p>
        </w:tc>
      </w:tr>
      <w:tr w14:paraId="1BF7B1F3" w14:textId="77777777" w:rsidR="000A15D0" w:rsidRPr="00234E5A" w:rsidTr="004306E2">
        <w:tc>
          <w:tcPr>
            <w:tcW w:type="dxa" w:w="3672"/>
            <w:shd w:color="auto" w:fill="auto" w:val="clear"/>
          </w:tcPr>
          <w:p w14:paraId="22D5103F" w14:textId="36A6C43F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>Investment Strategy</w:t>
            </w:r>
          </w:p>
        </w:tc>
        <w:tc>
          <w:tcPr>
            <w:tcW w:type="dxa" w:w="3672"/>
            <w:shd w:color="auto" w:fill="auto" w:val="clear"/>
          </w:tcPr>
          <w:p w14:paraId="62DD0179" w14:textId="73F76EF3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Due Diligence &amp; Quality Control </w:t>
            </w:r>
          </w:p>
        </w:tc>
        <w:tc>
          <w:tcPr>
            <w:tcW w:type="dxa" w:w="3672"/>
            <w:shd w:color="auto" w:fill="auto" w:val="clear"/>
          </w:tcPr>
          <w:p w14:paraId="538E7A53" w14:textId="2CDD9E53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Market Research &amp; Analysis </w:t>
            </w:r>
          </w:p>
        </w:tc>
      </w:tr>
      <w:tr w14:paraId="7A145A2D" w14:textId="77777777" w:rsidR="000A15D0" w:rsidRPr="00234E5A" w:rsidTr="004306E2">
        <w:tc>
          <w:tcPr>
            <w:tcW w:type="dxa" w:w="3672"/>
            <w:shd w:color="auto" w:fill="auto" w:val="clear"/>
          </w:tcPr>
          <w:p w14:paraId="08726B0E" w14:textId="69C29067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Wealth Management &amp; Growth </w:t>
            </w:r>
          </w:p>
        </w:tc>
        <w:tc>
          <w:tcPr>
            <w:tcW w:type="dxa" w:w="3672"/>
            <w:shd w:color="auto" w:fill="auto" w:val="clear"/>
          </w:tcPr>
          <w:p w14:paraId="2881BF45" w14:textId="7328815B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Process Improvement </w:t>
            </w:r>
          </w:p>
        </w:tc>
        <w:tc>
          <w:tcPr>
            <w:tcW w:type="dxa" w:w="3672"/>
            <w:shd w:color="auto" w:fill="auto" w:val="clear"/>
          </w:tcPr>
          <w:p w14:paraId="149382FA" w14:textId="495B0998" w:rsidP="00586F84" w:rsidR="00563E5A" w:rsidRDefault="00CC03D3" w:rsidRPr="00234E5A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0"/>
                <w:szCs w:val="22"/>
              </w:rPr>
            </w:pPr>
            <w:r w:rsidRPr="00234E5A">
              <w:rPr>
                <w:rFonts w:asciiTheme="minorHAnsi" w:hAnsiTheme="minorHAnsi"/>
                <w:color w:themeColor="text1" w:val="000000"/>
                <w:sz w:val="20"/>
                <w:szCs w:val="22"/>
              </w:rPr>
              <w:t xml:space="preserve">Regulatory Compliance </w:t>
            </w:r>
          </w:p>
        </w:tc>
      </w:tr>
    </w:tbl>
    <w:p w14:paraId="76C66662" w14:textId="77777777" w:rsidP="00D50033" w:rsidR="00C17D67" w:rsidRDefault="00EA1614" w:rsidRPr="00CC03D3">
      <w:pPr>
        <w:pBdr>
          <w:top w:color="auto" w:space="6" w:sz="12" w:val="single"/>
        </w:pBdr>
        <w:spacing w:after="80" w:before="80"/>
        <w:jc w:val="center"/>
        <w:rPr>
          <w:rFonts w:asciiTheme="majorHAnsi" w:hAnsiTheme="majorHAnsi"/>
          <w:b/>
          <w:caps/>
          <w:color w:themeColor="text1" w:val="000000"/>
        </w:rPr>
      </w:pPr>
      <w:r w:rsidRPr="00CC03D3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5538067" w14:textId="73C69AE1" w:rsidP="007C4814" w:rsidR="000020DF" w:rsidRDefault="000020DF" w:rsidRPr="003F241A">
      <w:pPr>
        <w:tabs>
          <w:tab w:pos="10080" w:val="right"/>
        </w:tabs>
        <w:spacing w:after="0" w:line="264" w:lineRule="auto"/>
        <w:rPr>
          <w:rFonts w:asciiTheme="minorHAnsi" w:hAnsiTheme="minorHAnsi"/>
          <w:sz w:val="20"/>
          <w:szCs w:val="22"/>
          <w:u w:val="single"/>
        </w:rPr>
      </w:pPr>
      <w:r w:rsidRPr="003F241A">
        <w:rPr>
          <w:rFonts w:asciiTheme="minorHAnsi" w:hAnsiTheme="minorHAnsi"/>
          <w:b/>
          <w:caps/>
          <w:sz w:val="20"/>
          <w:szCs w:val="22"/>
          <w:u w:val="single"/>
        </w:rPr>
        <w:t>ELLEVEST</w:t>
      </w:r>
      <w:r w:rsidR="003F241A" w:rsidRPr="003F241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>– Private Wealth Management</w:t>
      </w:r>
      <w:r w:rsidR="007C4814">
        <w:rPr>
          <w:rFonts w:asciiTheme="minorHAnsi" w:hAnsiTheme="minorHAnsi"/>
          <w:b/>
          <w:caps/>
          <w:sz w:val="20"/>
          <w:szCs w:val="22"/>
        </w:rPr>
        <w:t xml:space="preserve"> </w:t>
      </w:r>
      <w:r w:rsidR="00F87CE5" w:rsidRPr="007C4814">
        <w:rPr>
          <w:rFonts w:asciiTheme="minorHAnsi" w:hAnsiTheme="minorHAnsi"/>
          <w:sz w:val="20"/>
          <w:szCs w:val="22"/>
        </w:rPr>
        <w:t>New York</w:t>
      </w:r>
      <w:r w:rsidRPr="007C4814">
        <w:rPr>
          <w:rFonts w:asciiTheme="minorHAnsi" w:hAnsiTheme="minorHAnsi"/>
          <w:sz w:val="20"/>
          <w:szCs w:val="22"/>
        </w:rPr>
        <w:t xml:space="preserve">, </w:t>
      </w:r>
      <w:r w:rsidR="00F87CE5" w:rsidRPr="007C4814">
        <w:rPr>
          <w:rFonts w:asciiTheme="minorHAnsi" w:hAnsiTheme="minorHAnsi"/>
          <w:sz w:val="20"/>
          <w:szCs w:val="22"/>
        </w:rPr>
        <w:t>NY</w:t>
      </w:r>
      <w:r w:rsidR="007C4814">
        <w:rPr>
          <w:rFonts w:asciiTheme="minorHAnsi" w:hAnsiTheme="minorHAnsi"/>
          <w:sz w:val="20"/>
          <w:szCs w:val="22"/>
        </w:rPr>
        <w:tab/>
      </w:r>
      <w:r w:rsidRPr="007C4814">
        <w:rPr>
          <w:rFonts w:asciiTheme="minorHAnsi" w:hAnsiTheme="minorHAnsi"/>
          <w:sz w:val="20"/>
          <w:szCs w:val="22"/>
        </w:rPr>
        <w:t xml:space="preserve"> </w:t>
      </w:r>
      <w:r w:rsidR="007C4814" w:rsidRPr="007C4814">
        <w:rPr>
          <w:rFonts w:asciiTheme="minorHAnsi" w:hAnsiTheme="minorHAnsi"/>
          <w:sz w:val="20"/>
          <w:szCs w:val="22"/>
        </w:rPr>
        <w:t xml:space="preserve">2017 </w:t>
      </w:r>
      <w:r w:rsidRPr="007C4814">
        <w:rPr>
          <w:rFonts w:asciiTheme="minorHAnsi" w:hAnsiTheme="minorHAnsi"/>
          <w:sz w:val="20"/>
          <w:szCs w:val="22"/>
        </w:rPr>
        <w:t>- Present</w:t>
      </w:r>
    </w:p>
    <w:p w14:paraId="31108883" w14:textId="2D5730E4" w:rsidP="00F126B1" w:rsidR="00F126B1" w:rsidRDefault="000020DF" w:rsidRPr="00F126B1">
      <w:pPr>
        <w:spacing w:after="0" w:before="20" w:line="264" w:lineRule="auto"/>
        <w:rPr>
          <w:rFonts w:asciiTheme="minorHAnsi" w:hAnsiTheme="minorHAnsi"/>
          <w:b/>
          <w:color w:themeColor="text1" w:val="000000"/>
          <w:sz w:val="20"/>
          <w:szCs w:val="22"/>
        </w:rPr>
      </w:pPr>
      <w:r w:rsidRPr="000020DF">
        <w:rPr>
          <w:rFonts w:asciiTheme="minorHAnsi" w:hAnsiTheme="minorHAnsi"/>
          <w:b/>
          <w:color w:themeColor="text1" w:val="000000"/>
          <w:sz w:val="20"/>
          <w:szCs w:val="22"/>
        </w:rPr>
        <w:t>Senior Manager, Client Services</w:t>
      </w:r>
    </w:p>
    <w:p w14:paraId="273ACCA9" w14:textId="0E672EA5" w:rsidP="000020DF" w:rsidR="00195F5B" w:rsidRDefault="00EB139C" w:rsidRPr="00EB139C">
      <w:pPr>
        <w:spacing w:after="0" w:before="20" w:line="264" w:lineRule="auto"/>
        <w:jc w:val="both"/>
        <w:rPr>
          <w:rFonts w:asciiTheme="minorHAnsi" w:hAnsiTheme="minorHAnsi"/>
          <w:color w:themeColor="text1" w:val="000000"/>
          <w:sz w:val="20"/>
          <w:szCs w:val="22"/>
          <w:highlight w:val="yellow"/>
        </w:rPr>
      </w:pPr>
      <w:r w:rsidRPr="00EB139C">
        <w:rPr>
          <w:rFonts w:asciiTheme="minorHAnsi" w:hAnsiTheme="minorHAnsi"/>
          <w:color w:themeColor="text1" w:val="000000"/>
          <w:sz w:val="20"/>
          <w:szCs w:val="22"/>
        </w:rPr>
        <w:t>Lead client onboarding process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consisting of 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>captur</w:t>
      </w:r>
      <w:r>
        <w:rPr>
          <w:rFonts w:asciiTheme="minorHAnsi" w:hAnsiTheme="minorHAnsi"/>
          <w:color w:themeColor="text1" w:val="000000"/>
          <w:sz w:val="20"/>
          <w:szCs w:val="22"/>
        </w:rPr>
        <w:t>ing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critical client information</w:t>
      </w:r>
      <w:r>
        <w:rPr>
          <w:rFonts w:asciiTheme="minorHAnsi" w:hAnsiTheme="minorHAnsi"/>
          <w:color w:themeColor="text1" w:val="000000"/>
          <w:sz w:val="20"/>
          <w:szCs w:val="22"/>
        </w:rPr>
        <w:t>,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and open</w:t>
      </w:r>
      <w:r>
        <w:rPr>
          <w:rFonts w:asciiTheme="minorHAnsi" w:hAnsiTheme="minorHAnsi"/>
          <w:color w:themeColor="text1" w:val="000000"/>
          <w:sz w:val="20"/>
          <w:szCs w:val="22"/>
        </w:rPr>
        <w:t>ing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accounts at Schwab to anticipat</w:t>
      </w:r>
      <w:r>
        <w:rPr>
          <w:rFonts w:asciiTheme="minorHAnsi" w:hAnsiTheme="minorHAnsi"/>
          <w:color w:themeColor="text1" w:val="000000"/>
          <w:sz w:val="20"/>
          <w:szCs w:val="22"/>
        </w:rPr>
        <w:t>e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personal and financial needs of clients.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 xml:space="preserve">Liaise with financial advisors and </w:t>
      </w:r>
      <w:r w:rsidR="00F126B1" w:rsidRPr="00F126B1">
        <w:rPr>
          <w:rFonts w:asciiTheme="minorHAnsi" w:hAnsiTheme="minorHAnsi"/>
          <w:color w:themeColor="text1" w:val="000000"/>
          <w:sz w:val="20"/>
          <w:szCs w:val="22"/>
        </w:rPr>
        <w:t xml:space="preserve">internal teams such as </w:t>
      </w:r>
      <w:r w:rsidRPr="00F126B1">
        <w:rPr>
          <w:rFonts w:asciiTheme="minorHAnsi" w:hAnsiTheme="minorHAnsi"/>
          <w:color w:themeColor="text1" w:val="000000"/>
          <w:sz w:val="20"/>
          <w:szCs w:val="22"/>
        </w:rPr>
        <w:t>investments, operations, compliance</w:t>
      </w:r>
      <w:r>
        <w:rPr>
          <w:rFonts w:asciiTheme="minorHAnsi" w:hAnsiTheme="minorHAnsi"/>
          <w:color w:themeColor="text1" w:val="000000"/>
          <w:sz w:val="20"/>
          <w:szCs w:val="22"/>
        </w:rPr>
        <w:t>,</w:t>
      </w:r>
      <w:r w:rsidRPr="00F126B1">
        <w:rPr>
          <w:rFonts w:asciiTheme="minorHAnsi" w:hAnsiTheme="minorHAnsi"/>
          <w:color w:themeColor="text1" w:val="000000"/>
          <w:sz w:val="20"/>
          <w:szCs w:val="22"/>
        </w:rPr>
        <w:t xml:space="preserve"> and marketing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>; m</w:t>
      </w:r>
      <w:r w:rsidR="00F126B1" w:rsidRPr="000020DF">
        <w:rPr>
          <w:rFonts w:asciiTheme="minorHAnsi" w:hAnsiTheme="minorHAnsi"/>
          <w:color w:themeColor="text1" w:val="000000"/>
          <w:sz w:val="20"/>
          <w:szCs w:val="22"/>
        </w:rPr>
        <w:t>anage day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>-</w:t>
      </w:r>
      <w:r w:rsidR="00F126B1" w:rsidRPr="000020DF">
        <w:rPr>
          <w:rFonts w:asciiTheme="minorHAnsi" w:hAnsiTheme="minorHAnsi"/>
          <w:color w:themeColor="text1" w:val="000000"/>
          <w:sz w:val="20"/>
          <w:szCs w:val="22"/>
        </w:rPr>
        <w:t>to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>-</w:t>
      </w:r>
      <w:r w:rsidR="00F126B1" w:rsidRPr="000020DF">
        <w:rPr>
          <w:rFonts w:asciiTheme="minorHAnsi" w:hAnsiTheme="minorHAnsi"/>
          <w:color w:themeColor="text1" w:val="000000"/>
          <w:sz w:val="20"/>
          <w:szCs w:val="22"/>
        </w:rPr>
        <w:t xml:space="preserve">day operation of </w:t>
      </w:r>
      <w:r w:rsidR="00F126B1" w:rsidRPr="00F126B1">
        <w:rPr>
          <w:rFonts w:asciiTheme="minorHAnsi" w:hAnsiTheme="minorHAnsi"/>
          <w:color w:themeColor="text1" w:val="000000"/>
          <w:sz w:val="20"/>
          <w:szCs w:val="22"/>
        </w:rPr>
        <w:t>Private Wealth Management team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 xml:space="preserve"> and supervise client service managers</w:t>
      </w:r>
      <w:r w:rsidR="00F126B1" w:rsidRPr="00F126B1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0020DF" w:rsidRPr="000020DF">
        <w:rPr>
          <w:rFonts w:asciiTheme="minorHAnsi" w:hAnsiTheme="minorHAnsi"/>
          <w:color w:themeColor="text1" w:val="000000"/>
          <w:sz w:val="20"/>
          <w:szCs w:val="22"/>
        </w:rPr>
        <w:t xml:space="preserve">to deliver 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>exceptional</w:t>
      </w:r>
      <w:r w:rsidR="000020DF" w:rsidRPr="000020DF">
        <w:rPr>
          <w:rFonts w:asciiTheme="minorHAnsi" w:hAnsiTheme="minorHAnsi"/>
          <w:color w:themeColor="text1" w:val="000000"/>
          <w:sz w:val="20"/>
          <w:szCs w:val="22"/>
        </w:rPr>
        <w:t xml:space="preserve"> service to clients</w:t>
      </w:r>
      <w:r w:rsidR="00F126B1">
        <w:rPr>
          <w:rFonts w:asciiTheme="minorHAnsi" w:hAnsiTheme="minorHAnsi"/>
          <w:color w:themeColor="text1" w:val="000000"/>
          <w:sz w:val="20"/>
          <w:szCs w:val="22"/>
        </w:rPr>
        <w:t>.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>Provide feedback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 xml:space="preserve"> to key stakeholders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 on client needs and liaise with</w:t>
      </w:r>
      <w:r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0"/>
          <w:szCs w:val="22"/>
        </w:rPr>
        <w:t>p</w:t>
      </w:r>
      <w:r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roduct 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>development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 xml:space="preserve"> team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 to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>launch new products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 xml:space="preserve"> and</w:t>
      </w:r>
      <w:r w:rsidR="00BC61EC"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 implement changes in support of client requirements</w:t>
      </w:r>
      <w:r w:rsidR="00BC61EC">
        <w:rPr>
          <w:rFonts w:asciiTheme="minorHAnsi" w:hAnsiTheme="minorHAnsi"/>
          <w:color w:themeColor="text1" w:val="000000"/>
          <w:sz w:val="20"/>
          <w:szCs w:val="22"/>
        </w:rPr>
        <w:t>.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>Ensur</w:t>
      </w:r>
      <w:r>
        <w:rPr>
          <w:rFonts w:asciiTheme="minorHAnsi" w:hAnsiTheme="minorHAnsi"/>
          <w:color w:themeColor="text1" w:val="000000"/>
          <w:sz w:val="20"/>
          <w:szCs w:val="22"/>
        </w:rPr>
        <w:t>e new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 xml:space="preserve"> investment opportunities </w:t>
      </w:r>
      <w:r>
        <w:rPr>
          <w:rFonts w:asciiTheme="minorHAnsi" w:hAnsiTheme="minorHAnsi"/>
          <w:color w:themeColor="text1" w:val="000000"/>
          <w:sz w:val="20"/>
          <w:szCs w:val="22"/>
        </w:rPr>
        <w:t>get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 xml:space="preserve"> communicated to clients through cohesive, consistent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, 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>and easy-to-understand messages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and assist financial advisors in planning and executing strategies for getting clients invested.</w:t>
      </w:r>
    </w:p>
    <w:p w14:paraId="540F20B3" w14:textId="77777777" w:rsidP="000020DF" w:rsidR="000020DF" w:rsidRDefault="000020DF" w:rsidRPr="00234E5A">
      <w:pPr>
        <w:spacing w:after="0" w:before="20" w:line="276" w:lineRule="auto"/>
        <w:jc w:val="both"/>
        <w:rPr>
          <w:rFonts w:asciiTheme="minorHAnsi" w:hAnsiTheme="minorHAnsi"/>
          <w:b/>
          <w:i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i/>
          <w:color w:themeColor="text1" w:val="000000"/>
          <w:sz w:val="20"/>
          <w:szCs w:val="22"/>
        </w:rPr>
        <w:t>Key Accomplishments:</w:t>
      </w:r>
    </w:p>
    <w:p w14:paraId="57441112" w14:textId="05442278" w:rsidP="00F87CE5" w:rsidR="00F87CE5" w:rsidRDefault="00F87CE5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F87CE5">
        <w:rPr>
          <w:rFonts w:asciiTheme="minorHAnsi" w:hAnsiTheme="minorHAnsi"/>
          <w:color w:themeColor="text1" w:val="000000"/>
          <w:sz w:val="20"/>
          <w:szCs w:val="22"/>
        </w:rPr>
        <w:t xml:space="preserve">Collaborate with </w:t>
      </w:r>
      <w:r w:rsidR="00EB139C" w:rsidRPr="00F87CE5">
        <w:rPr>
          <w:rFonts w:asciiTheme="minorHAnsi" w:hAnsiTheme="minorHAnsi"/>
          <w:color w:themeColor="text1" w:val="000000"/>
          <w:sz w:val="20"/>
          <w:szCs w:val="22"/>
        </w:rPr>
        <w:t xml:space="preserve">financial advisors and marketing 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>department on events, content creation and advertising to monitor and assess growing trends to understand competitive environment and recommend changes to existing processes or additions to current service offerings</w:t>
      </w:r>
      <w:r>
        <w:rPr>
          <w:rFonts w:asciiTheme="minorHAnsi" w:hAnsiTheme="minorHAnsi"/>
          <w:color w:themeColor="text1" w:val="000000"/>
          <w:sz w:val="20"/>
          <w:szCs w:val="22"/>
        </w:rPr>
        <w:t>.</w:t>
      </w:r>
    </w:p>
    <w:p w14:paraId="5196760F" w14:textId="6FC3FA9E" w:rsidP="00F87CE5" w:rsidR="00F87CE5" w:rsidRDefault="00F87CE5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Coordinate with </w:t>
      </w:r>
      <w:r w:rsidR="00EB139C" w:rsidRPr="00BC61EC">
        <w:rPr>
          <w:rFonts w:asciiTheme="minorHAnsi" w:hAnsiTheme="minorHAnsi"/>
          <w:color w:themeColor="text1" w:val="000000"/>
          <w:sz w:val="20"/>
          <w:szCs w:val="22"/>
        </w:rPr>
        <w:t>financial advisors</w:t>
      </w:r>
      <w:r w:rsidR="00EB139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0"/>
          <w:szCs w:val="22"/>
        </w:rPr>
        <w:t>to r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eview marketing materials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and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 incoming and outgoing correspondence </w:t>
      </w:r>
      <w:r w:rsidRPr="00BC61EC">
        <w:rPr>
          <w:rFonts w:asciiTheme="minorHAnsi" w:hAnsiTheme="minorHAnsi"/>
          <w:color w:themeColor="text1" w:val="000000"/>
          <w:sz w:val="20"/>
          <w:szCs w:val="22"/>
        </w:rPr>
        <w:t xml:space="preserve">to ensure 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quick and thorough answers to </w:t>
      </w:r>
      <w:r w:rsidRPr="00BC61EC">
        <w:rPr>
          <w:rFonts w:asciiTheme="minorHAnsi" w:hAnsiTheme="minorHAnsi"/>
          <w:color w:themeColor="text1" w:val="000000"/>
          <w:sz w:val="20"/>
          <w:szCs w:val="22"/>
        </w:rPr>
        <w:t>inquiries during prospecting process.</w:t>
      </w:r>
    </w:p>
    <w:p w14:paraId="35CF8261" w14:textId="2EC17475" w:rsidP="00F87CE5" w:rsidR="00F87CE5" w:rsidRDefault="00F87CE5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195F5B">
        <w:rPr>
          <w:rFonts w:asciiTheme="minorHAnsi" w:hAnsiTheme="minorHAnsi"/>
          <w:color w:themeColor="text1" w:val="000000"/>
          <w:sz w:val="20"/>
          <w:szCs w:val="22"/>
        </w:rPr>
        <w:t>Act as central point of contac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t 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between </w:t>
      </w:r>
      <w:r w:rsidR="00EB139C" w:rsidRPr="00195F5B">
        <w:rPr>
          <w:rFonts w:asciiTheme="minorHAnsi" w:hAnsiTheme="minorHAnsi"/>
          <w:color w:themeColor="text1" w:val="000000"/>
          <w:sz w:val="20"/>
          <w:szCs w:val="22"/>
        </w:rPr>
        <w:t>financial advisors, investments, operations, complianc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e and clients</w:t>
      </w:r>
      <w:r>
        <w:rPr>
          <w:rFonts w:asciiTheme="minorHAnsi" w:hAnsiTheme="minorHAnsi"/>
          <w:color w:themeColor="text1" w:val="000000"/>
          <w:sz w:val="20"/>
          <w:szCs w:val="22"/>
        </w:rPr>
        <w:t>, anticipating client needs and cultivating existing relationships</w:t>
      </w:r>
      <w:r w:rsidR="00EB139C">
        <w:rPr>
          <w:rFonts w:asciiTheme="minorHAnsi" w:hAnsiTheme="minorHAnsi"/>
          <w:color w:themeColor="text1" w:val="000000"/>
          <w:sz w:val="20"/>
          <w:szCs w:val="22"/>
        </w:rPr>
        <w:t>, resulting in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EB139C">
        <w:rPr>
          <w:rFonts w:asciiTheme="minorHAnsi" w:hAnsiTheme="minorHAnsi"/>
          <w:color w:themeColor="text1" w:val="000000"/>
          <w:sz w:val="20"/>
          <w:szCs w:val="22"/>
        </w:rPr>
        <w:t>repeat business</w:t>
      </w:r>
      <w:r>
        <w:rPr>
          <w:rFonts w:asciiTheme="minorHAnsi" w:hAnsiTheme="minorHAnsi"/>
          <w:color w:themeColor="text1" w:val="000000"/>
          <w:sz w:val="20"/>
          <w:szCs w:val="22"/>
        </w:rPr>
        <w:t>.</w:t>
      </w:r>
    </w:p>
    <w:p w14:paraId="435BD6FD" w14:textId="27752345" w:rsidP="00EB139C" w:rsidR="000020DF" w:rsidRDefault="00EB139C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>
        <w:rPr>
          <w:rFonts w:asciiTheme="minorHAnsi" w:hAnsiTheme="minorHAnsi"/>
          <w:color w:themeColor="text1" w:val="000000"/>
          <w:sz w:val="20"/>
          <w:szCs w:val="22"/>
        </w:rPr>
        <w:t>Increased client loyalty and retention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through </w:t>
      </w:r>
      <w:r w:rsidRPr="00F87CE5">
        <w:rPr>
          <w:rFonts w:asciiTheme="minorHAnsi" w:hAnsiTheme="minorHAnsi"/>
          <w:color w:themeColor="text1" w:val="000000"/>
          <w:sz w:val="20"/>
          <w:szCs w:val="22"/>
        </w:rPr>
        <w:t>personalized touch point opportunities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, such as </w:t>
      </w:r>
      <w:r w:rsidRPr="00EB139C">
        <w:rPr>
          <w:rFonts w:asciiTheme="minorHAnsi" w:hAnsiTheme="minorHAnsi"/>
          <w:color w:themeColor="text1" w:val="000000"/>
          <w:sz w:val="20"/>
          <w:szCs w:val="22"/>
        </w:rPr>
        <w:t>email communications, holiday gifts, and comprehensive annual reviews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for increased loyalty and retention.</w:t>
      </w:r>
    </w:p>
    <w:p w14:paraId="53D6D1CD" w14:textId="4F9DCFC0" w:rsidP="00EB139C" w:rsidR="007C4814" w:rsidRDefault="007C4814" w:rsidRPr="00EB139C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>
        <w:rPr>
          <w:rFonts w:asciiTheme="minorHAnsi" w:hAnsiTheme="minorHAnsi"/>
          <w:color w:themeColor="text1" w:val="000000"/>
          <w:sz w:val="20"/>
          <w:szCs w:val="22"/>
        </w:rPr>
        <w:t xml:space="preserve">Guaranteed 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optimal performance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by c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onduct</w:t>
      </w:r>
      <w:r>
        <w:rPr>
          <w:rFonts w:asciiTheme="minorHAnsi" w:hAnsiTheme="minorHAnsi"/>
          <w:color w:themeColor="text1" w:val="000000"/>
          <w:sz w:val="20"/>
          <w:szCs w:val="22"/>
        </w:rPr>
        <w:t>ing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0"/>
          <w:szCs w:val="22"/>
        </w:rPr>
        <w:t>periodic p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erformance </w:t>
      </w:r>
      <w:r>
        <w:rPr>
          <w:rFonts w:asciiTheme="minorHAnsi" w:hAnsiTheme="minorHAnsi"/>
          <w:color w:themeColor="text1" w:val="000000"/>
          <w:sz w:val="20"/>
          <w:szCs w:val="22"/>
        </w:rPr>
        <w:t>r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eviews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 of 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Client Services Team</w:t>
      </w:r>
      <w:r>
        <w:rPr>
          <w:rFonts w:asciiTheme="minorHAnsi" w:hAnsiTheme="minorHAnsi"/>
          <w:color w:themeColor="text1" w:val="000000"/>
          <w:sz w:val="20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0"/>
          <w:szCs w:val="22"/>
        </w:rPr>
        <w:t>i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dentif</w:t>
      </w:r>
      <w:r>
        <w:rPr>
          <w:rFonts w:asciiTheme="minorHAnsi" w:hAnsiTheme="minorHAnsi"/>
          <w:color w:themeColor="text1" w:val="000000"/>
          <w:sz w:val="20"/>
          <w:szCs w:val="22"/>
        </w:rPr>
        <w:t>y</w:t>
      </w:r>
      <w:r>
        <w:rPr>
          <w:rFonts w:asciiTheme="minorHAnsi" w:hAnsiTheme="minorHAnsi"/>
          <w:color w:themeColor="text1" w:val="000000"/>
          <w:sz w:val="20"/>
          <w:szCs w:val="22"/>
        </w:rPr>
        <w:t>ing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="002C3C8E">
        <w:rPr>
          <w:rFonts w:asciiTheme="minorHAnsi" w:hAnsiTheme="minorHAnsi"/>
          <w:color w:themeColor="text1" w:val="000000"/>
          <w:sz w:val="20"/>
          <w:szCs w:val="22"/>
        </w:rPr>
        <w:t>and addressing</w:t>
      </w:r>
      <w:r w:rsidR="002C3C8E" w:rsidRPr="00195F5B">
        <w:rPr>
          <w:rFonts w:asciiTheme="minorHAnsi" w:hAnsiTheme="minorHAnsi"/>
          <w:color w:themeColor="text1" w:val="000000"/>
          <w:sz w:val="20"/>
          <w:szCs w:val="22"/>
        </w:rPr>
        <w:t xml:space="preserve"> </w:t>
      </w:r>
      <w:r w:rsidRPr="00195F5B">
        <w:rPr>
          <w:rFonts w:asciiTheme="minorHAnsi" w:hAnsiTheme="minorHAnsi"/>
          <w:color w:themeColor="text1" w:val="000000"/>
          <w:sz w:val="20"/>
          <w:szCs w:val="22"/>
        </w:rPr>
        <w:t>developmental needs</w:t>
      </w:r>
      <w:r w:rsidR="002C3C8E">
        <w:rPr>
          <w:rFonts w:asciiTheme="minorHAnsi" w:hAnsiTheme="minorHAnsi"/>
          <w:color w:themeColor="text1" w:val="000000"/>
          <w:sz w:val="20"/>
          <w:szCs w:val="22"/>
        </w:rPr>
        <w:t>.</w:t>
      </w:r>
    </w:p>
    <w:p w14:paraId="3452C54C" w14:textId="77E93215" w:rsidP="007C4814" w:rsidR="0017273F" w:rsidRDefault="00E142AB">
      <w:pPr>
        <w:tabs>
          <w:tab w:pos="10080" w:val="right"/>
        </w:tabs>
        <w:spacing w:after="0" w:before="360" w:line="264" w:lineRule="auto"/>
        <w:rPr>
          <w:rFonts w:asciiTheme="minorHAnsi" w:hAnsiTheme="minorHAnsi"/>
          <w:b/>
          <w:caps/>
          <w:color w:themeColor="text1" w:val="000000"/>
          <w:sz w:val="20"/>
          <w:szCs w:val="22"/>
          <w:u w:val="single"/>
        </w:rPr>
      </w:pPr>
      <w:r w:rsidRPr="00234E5A">
        <w:rPr>
          <w:rFonts w:asciiTheme="minorHAnsi" w:hAnsiTheme="minorHAnsi"/>
          <w:b/>
          <w:caps/>
          <w:color w:themeColor="text1" w:val="000000"/>
          <w:sz w:val="20"/>
          <w:szCs w:val="22"/>
          <w:u w:val="single"/>
        </w:rPr>
        <w:t>MERRILL LYNCH PRIVATE WEALTH MANAGEMENT</w:t>
      </w:r>
      <w:r w:rsidR="007C4814" w:rsidRPr="007C4814">
        <w:rPr>
          <w:rFonts w:asciiTheme="minorHAnsi" w:hAnsiTheme="minorHAnsi"/>
          <w:b/>
          <w:caps/>
          <w:color w:themeColor="text1" w:val="000000"/>
          <w:sz w:val="20"/>
          <w:szCs w:val="22"/>
        </w:rPr>
        <w:t xml:space="preserve"> </w:t>
      </w:r>
      <w:r w:rsidR="007C4814">
        <w:rPr>
          <w:rFonts w:asciiTheme="minorHAnsi" w:hAnsiTheme="minorHAnsi"/>
          <w:b/>
          <w:caps/>
          <w:color w:themeColor="text1" w:val="000000"/>
          <w:sz w:val="20"/>
          <w:szCs w:val="22"/>
        </w:rPr>
        <w:tab/>
      </w:r>
      <w:r w:rsidR="007C4814" w:rsidRPr="007C4814">
        <w:rPr>
          <w:rFonts w:asciiTheme="minorHAnsi" w:hAnsiTheme="minorHAnsi"/>
          <w:bCs/>
          <w:caps/>
          <w:color w:themeColor="text1" w:val="000000"/>
          <w:sz w:val="20"/>
          <w:szCs w:val="22"/>
        </w:rPr>
        <w:t xml:space="preserve">2013 </w:t>
      </w:r>
      <w:r w:rsidR="007C4814">
        <w:rPr>
          <w:rFonts w:asciiTheme="minorHAnsi" w:hAnsiTheme="minorHAnsi"/>
          <w:bCs/>
          <w:caps/>
          <w:color w:themeColor="text1" w:val="000000"/>
          <w:sz w:val="20"/>
          <w:szCs w:val="22"/>
        </w:rPr>
        <w:t>-</w:t>
      </w:r>
      <w:r w:rsidR="007C4814" w:rsidRPr="007C4814">
        <w:rPr>
          <w:rFonts w:asciiTheme="minorHAnsi" w:hAnsiTheme="minorHAnsi"/>
          <w:bCs/>
          <w:caps/>
          <w:color w:themeColor="text1" w:val="000000"/>
          <w:sz w:val="20"/>
          <w:szCs w:val="22"/>
        </w:rPr>
        <w:t xml:space="preserve"> 2017</w:t>
      </w:r>
    </w:p>
    <w:p w14:paraId="6667CCA6" w14:textId="046B72B5" w:rsidP="00234E5A" w:rsidR="0017273F" w:rsidRDefault="007C4814" w:rsidRPr="007C4814">
      <w:pPr>
        <w:spacing w:after="0" w:before="20" w:line="264" w:lineRule="auto"/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</w:pP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The Sharma Group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,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 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Boston, MA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 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(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2017-2019</w:t>
      </w:r>
      <w:proofErr w:type="gramStart"/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)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 </w:t>
      </w:r>
      <w:r w:rsidRPr="007C4814">
        <w:rPr>
          <w:rFonts w:asciiTheme="minorHAnsi" w:hAnsiTheme="minorHAnsi"/>
          <w:b/>
          <w:color w:themeColor="text1" w:val="000000"/>
          <w:sz w:val="20"/>
          <w:szCs w:val="22"/>
        </w:rPr>
        <w:t xml:space="preserve"> |</w:t>
      </w:r>
      <w:proofErr w:type="gramEnd"/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 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Grunfeld- Vale &amp; Associates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,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 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 xml:space="preserve">New York, NY 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(</w:t>
      </w:r>
      <w:r w:rsidRPr="007C4814"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2013-2017</w:t>
      </w:r>
      <w:r>
        <w:rPr>
          <w:rFonts w:asciiTheme="minorHAnsi" w:hAnsiTheme="minorHAnsi"/>
          <w:b/>
          <w:i/>
          <w:iCs/>
          <w:color w:themeColor="text1" w:val="000000"/>
          <w:sz w:val="20"/>
          <w:szCs w:val="22"/>
        </w:rPr>
        <w:t>)</w:t>
      </w:r>
    </w:p>
    <w:p w14:paraId="5F8553FB" w14:textId="0D78D0FB" w:rsidP="00234E5A" w:rsidR="007C4814" w:rsidRDefault="007C4814" w:rsidRPr="007C4814">
      <w:pPr>
        <w:spacing w:after="0" w:before="20" w:line="264" w:lineRule="auto"/>
        <w:rPr>
          <w:rFonts w:asciiTheme="minorHAnsi" w:hAnsiTheme="minorHAnsi"/>
          <w:b/>
          <w:color w:themeColor="text1" w:val="000000"/>
          <w:sz w:val="20"/>
          <w:szCs w:val="22"/>
        </w:rPr>
      </w:pPr>
      <w:r w:rsidRPr="007C4814">
        <w:rPr>
          <w:rFonts w:asciiTheme="minorHAnsi" w:hAnsiTheme="minorHAnsi"/>
          <w:b/>
          <w:color w:themeColor="text1" w:val="000000"/>
          <w:sz w:val="20"/>
          <w:szCs w:val="22"/>
        </w:rPr>
        <w:t>Senior Registered Private Wealth Analyst</w:t>
      </w:r>
    </w:p>
    <w:p w14:paraId="3722E68E" w14:textId="7652263E" w:rsidP="000020DF" w:rsidR="0017273F" w:rsidRDefault="00E142AB" w:rsidRPr="00234E5A">
      <w:pPr>
        <w:spacing w:after="0" w:before="20" w:line="264" w:lineRule="auto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Manage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investment allocation processes, including data collection, analysis, and dissemination. Streamline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communications between clients and advisors regarding investment strategy, philosophy, and approach, delivering presentation materials and marketing for clients and prospects. </w:t>
      </w:r>
      <w:r w:rsidR="001100CA" w:rsidRPr="00234E5A">
        <w:rPr>
          <w:rFonts w:asciiTheme="minorHAnsi" w:hAnsiTheme="minorHAnsi"/>
          <w:color w:themeColor="text1" w:val="000000"/>
          <w:sz w:val="20"/>
          <w:szCs w:val="22"/>
        </w:rPr>
        <w:t>Leverage</w:t>
      </w:r>
      <w:r w:rsidR="007C4814">
        <w:rPr>
          <w:rFonts w:asciiTheme="minorHAnsi" w:hAnsiTheme="minorHAnsi"/>
          <w:color w:themeColor="text1" w:val="000000"/>
          <w:sz w:val="20"/>
          <w:szCs w:val="22"/>
        </w:rPr>
        <w:t>d</w:t>
      </w:r>
      <w:r w:rsidR="001100CA"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Portfolio Plus to coordinate account implementation and trading following review.</w:t>
      </w:r>
    </w:p>
    <w:p w14:paraId="50F39ECA" w14:textId="77777777" w:rsidP="007C4814" w:rsidR="0017273F" w:rsidRDefault="0017273F" w:rsidRPr="00234E5A">
      <w:pPr>
        <w:keepNext/>
        <w:spacing w:after="0" w:before="20" w:line="276" w:lineRule="auto"/>
        <w:jc w:val="both"/>
        <w:rPr>
          <w:rFonts w:asciiTheme="minorHAnsi" w:hAnsiTheme="minorHAnsi"/>
          <w:b/>
          <w:i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i/>
          <w:color w:themeColor="text1" w:val="000000"/>
          <w:sz w:val="20"/>
          <w:szCs w:val="22"/>
        </w:rPr>
        <w:lastRenderedPageBreak/>
        <w:t>Key Accomplishments:</w:t>
      </w:r>
    </w:p>
    <w:p w14:paraId="2FEFEEBB" w14:textId="41D6085E" w:rsidP="007C4814" w:rsidR="00B43DCB" w:rsidRDefault="00E142AB" w:rsidRPr="00234E5A">
      <w:pPr>
        <w:pStyle w:val="ListParagraph"/>
        <w:keepNext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Led portfolio model development while playing a key role in due diligence and performance analysis, </w:t>
      </w:r>
      <w:r w:rsidR="00234E5A">
        <w:rPr>
          <w:rFonts w:asciiTheme="minorHAnsi" w:hAnsiTheme="minorHAnsi"/>
          <w:color w:themeColor="text1" w:val="000000"/>
          <w:sz w:val="20"/>
          <w:szCs w:val="22"/>
        </w:rPr>
        <w:t xml:space="preserve">measuring 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portfolio performance while recommending changes according to shifting risk exposure levels to </w:t>
      </w:r>
      <w:r w:rsidR="00234E5A">
        <w:rPr>
          <w:rFonts w:asciiTheme="minorHAnsi" w:hAnsiTheme="minorHAnsi"/>
          <w:color w:themeColor="text1" w:val="000000"/>
          <w:sz w:val="20"/>
          <w:szCs w:val="22"/>
        </w:rPr>
        <w:t>achieve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target asset allocations.</w:t>
      </w:r>
    </w:p>
    <w:p w14:paraId="5CFFC84E" w14:textId="21F9649C" w:rsidP="000020DF" w:rsidR="00E142AB" w:rsidRDefault="001100CA" w:rsidRPr="00234E5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Implement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ed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exceptional client services to ~100 clients to generate growth and business referrals, generating $60M+ in external assets due to superior performance as a Client Representative and Financial Planner</w:t>
      </w:r>
      <w:r w:rsidR="00E142AB" w:rsidRPr="00234E5A">
        <w:rPr>
          <w:rFonts w:asciiTheme="minorHAnsi" w:hAnsiTheme="minorHAnsi"/>
          <w:color w:themeColor="text1" w:val="000000"/>
          <w:sz w:val="20"/>
          <w:szCs w:val="22"/>
        </w:rPr>
        <w:t>.</w:t>
      </w:r>
    </w:p>
    <w:p w14:paraId="52C2AAE5" w14:textId="77956A51" w:rsidP="000020DF" w:rsidR="00E142AB" w:rsidRDefault="00E142AB" w:rsidRPr="00234E5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Manage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all client inquiries to ensure superior services while liaising between clients, financial advisors, and management regarding account openings, wires, maintenance, and regulatory compliance.</w:t>
      </w:r>
    </w:p>
    <w:p w14:paraId="03B0CFEC" w14:textId="785B5F9C" w:rsidP="000020DF" w:rsidR="001100CA" w:rsidRDefault="001100CA" w:rsidRPr="00234E5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Establish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ed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custom reporting frameworks to improve client understanding of specific portfolio performance, standardizing the new reporting framework as a template spear sheet for use during client presentations. </w:t>
      </w:r>
    </w:p>
    <w:p w14:paraId="7DCC2733" w14:textId="34746F77" w:rsidP="000020DF" w:rsidR="00E142AB" w:rsidRDefault="00E142AB" w:rsidRPr="00234E5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Implement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ed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quality assurance controls to ensure fi</w:t>
      </w:r>
      <w:r w:rsidR="00234E5A">
        <w:rPr>
          <w:rFonts w:asciiTheme="minorHAnsi" w:hAnsiTheme="minorHAnsi"/>
          <w:color w:themeColor="text1" w:val="000000"/>
          <w:sz w:val="20"/>
          <w:szCs w:val="22"/>
        </w:rPr>
        <w:t>lings and trading are compliant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with SEC </w:t>
      </w:r>
      <w:r w:rsidR="00234E5A">
        <w:rPr>
          <w:rFonts w:asciiTheme="minorHAnsi" w:hAnsiTheme="minorHAnsi"/>
          <w:color w:themeColor="text1" w:val="000000"/>
          <w:sz w:val="20"/>
          <w:szCs w:val="22"/>
        </w:rPr>
        <w:t>(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>Rule 144 and 10b5-1 plans</w:t>
      </w:r>
      <w:r w:rsidR="00234E5A">
        <w:rPr>
          <w:rFonts w:asciiTheme="minorHAnsi" w:hAnsiTheme="minorHAnsi"/>
          <w:color w:themeColor="text1" w:val="000000"/>
          <w:sz w:val="20"/>
          <w:szCs w:val="22"/>
        </w:rPr>
        <w:t>)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. </w:t>
      </w:r>
    </w:p>
    <w:p w14:paraId="4AB9189C" w14:textId="764E8395" w:rsidP="000020DF" w:rsidR="00E142AB" w:rsidRDefault="00E142AB" w:rsidRPr="00234E5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Assess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ed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trend analysis and market research within domestic and global sectors during client conference calls, developing summarized meetings minutes to streamline information to senior leadership; interpret analytics and trends in client portfolios, developing reports for clients and internal leadership.</w:t>
      </w:r>
    </w:p>
    <w:p w14:paraId="6DFA4C1D" w14:textId="4CF6AB4C" w:rsidP="000020DF" w:rsidR="00D50033" w:rsidRDefault="00D50033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76" w:lineRule="auto"/>
        <w:contextualSpacing w:val="0"/>
        <w:jc w:val="both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</w:rPr>
        <w:t>Serve</w:t>
      </w:r>
      <w:r w:rsidR="000020DF">
        <w:rPr>
          <w:rFonts w:asciiTheme="minorHAnsi" w:hAnsiTheme="minorHAnsi"/>
          <w:color w:themeColor="text1" w:val="000000"/>
          <w:sz w:val="20"/>
          <w:szCs w:val="22"/>
        </w:rPr>
        <w:t>d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 as Forbes #1 advisor for several consecutive years along with Barron’s. </w:t>
      </w:r>
    </w:p>
    <w:p w14:paraId="1DF72BAF" w14:textId="3CD35AFD" w:rsidP="00234E5A" w:rsidR="00E142AB" w:rsidRDefault="00E142AB" w:rsidRPr="000020DF">
      <w:pPr>
        <w:pBdr>
          <w:top w:color="auto" w:space="6" w:sz="12" w:val="single"/>
        </w:pBdr>
        <w:spacing w:after="80" w:before="80"/>
        <w:jc w:val="center"/>
        <w:rPr>
          <w:rFonts w:asciiTheme="majorHAnsi" w:hAnsiTheme="majorHAnsi"/>
          <w:b/>
          <w:caps/>
          <w:color w:themeColor="text1" w:val="000000"/>
          <w:szCs w:val="28"/>
        </w:rPr>
      </w:pPr>
      <w:r w:rsidRPr="000020DF">
        <w:rPr>
          <w:rFonts w:asciiTheme="majorHAnsi" w:hAnsiTheme="majorHAnsi"/>
          <w:b/>
          <w:caps/>
          <w:color w:themeColor="text1" w:val="000000"/>
          <w:szCs w:val="28"/>
        </w:rPr>
        <w:t>Education</w:t>
      </w:r>
      <w:r w:rsidR="00CC03D3" w:rsidRPr="000020DF">
        <w:rPr>
          <w:rFonts w:asciiTheme="majorHAnsi" w:hAnsiTheme="majorHAnsi"/>
          <w:b/>
          <w:caps/>
          <w:color w:themeColor="text1" w:val="000000"/>
          <w:szCs w:val="28"/>
        </w:rPr>
        <w:t xml:space="preserve"> &amp; credentials</w:t>
      </w:r>
    </w:p>
    <w:p w14:paraId="6E33602A" w14:textId="77777777" w:rsidP="00CC03D3" w:rsidR="00D50033" w:rsidRDefault="00E142AB" w:rsidRPr="00234E5A">
      <w:pPr>
        <w:spacing w:after="0" w:line="264" w:lineRule="auto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 xml:space="preserve">Bachelor of </w:t>
      </w:r>
      <w:r w:rsidR="00CC03D3" w:rsidRPr="00234E5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>Arts, Managerial Economics</w:t>
      </w: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 xml:space="preserve"> 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>|</w:t>
      </w: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 xml:space="preserve"> </w:t>
      </w:r>
      <w:r w:rsidR="00CC03D3" w:rsidRPr="00234E5A">
        <w:rPr>
          <w:rFonts w:asciiTheme="minorHAnsi" w:hAnsiTheme="minorHAnsi"/>
          <w:color w:themeColor="text1" w:val="000000"/>
          <w:sz w:val="20"/>
          <w:szCs w:val="22"/>
        </w:rPr>
        <w:t>Union College, Schenectady, NY | 2012</w:t>
      </w:r>
    </w:p>
    <w:p w14:paraId="3621C38F" w14:textId="43FD2BFC" w:rsidP="00234E5A" w:rsidR="00CC03D3" w:rsidRDefault="00D50033" w:rsidRPr="00234E5A">
      <w:pPr>
        <w:pStyle w:val="ListParagraph"/>
        <w:numPr>
          <w:ilvl w:val="0"/>
          <w:numId w:val="5"/>
        </w:numPr>
        <w:spacing w:after="0" w:line="264" w:lineRule="auto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  <w:u w:val="single"/>
        </w:rPr>
        <w:t>Senior Thesis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: </w:t>
      </w:r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Conducted extensive research on Union Alumni to investigate gender disparities in investment decision-making and an examination of potential factors that increase investment portfolio risk in women. </w:t>
      </w:r>
    </w:p>
    <w:p w14:paraId="70CFAD53" w14:textId="37742E5B" w:rsidP="00234E5A" w:rsidR="00D50033" w:rsidRDefault="00D50033" w:rsidRPr="00234E5A">
      <w:pPr>
        <w:pStyle w:val="ListParagraph"/>
        <w:numPr>
          <w:ilvl w:val="0"/>
          <w:numId w:val="5"/>
        </w:numPr>
        <w:tabs>
          <w:tab w:pos="720" w:val="left"/>
        </w:tabs>
        <w:spacing w:after="0" w:line="264" w:lineRule="auto"/>
        <w:contextualSpacing w:val="0"/>
        <w:rPr>
          <w:rFonts w:asciiTheme="minorHAnsi" w:hAnsiTheme="minorHAnsi"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color w:themeColor="text1" w:val="000000"/>
          <w:sz w:val="20"/>
          <w:szCs w:val="22"/>
          <w:u w:val="single"/>
        </w:rPr>
        <w:t>Key Project(s)</w:t>
      </w:r>
      <w:r w:rsidRPr="00234E5A">
        <w:rPr>
          <w:rFonts w:asciiTheme="minorHAnsi" w:hAnsiTheme="minorHAnsi"/>
          <w:color w:themeColor="text1" w:val="000000"/>
          <w:sz w:val="20"/>
          <w:szCs w:val="22"/>
        </w:rPr>
        <w:t xml:space="preserve">: </w:t>
      </w:r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Served as a Research Assistant to perform survey and interview research with high net worth Alumni to analyze behavioral patterns in comparison with those in </w:t>
      </w:r>
      <w:proofErr w:type="spellStart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>Danko</w:t>
      </w:r>
      <w:proofErr w:type="spellEnd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 and Stanley’s “A Millionaire Next Door”.</w:t>
      </w:r>
    </w:p>
    <w:p w14:paraId="753AD8BA" w14:textId="3BAABB32" w:rsidP="00D50033" w:rsidR="00CC03D3" w:rsidRDefault="00CC03D3" w:rsidRPr="00234E5A">
      <w:pPr>
        <w:spacing w:after="0" w:before="60" w:line="264" w:lineRule="auto"/>
        <w:rPr>
          <w:rFonts w:asciiTheme="minorHAnsi" w:hAnsiTheme="minorHAnsi"/>
          <w:i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>Professional Development</w:t>
      </w: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>:</w:t>
      </w:r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 NASD Series 7, 66 Licensure</w:t>
      </w:r>
    </w:p>
    <w:p w14:paraId="48778E98" w14:textId="58090DA1" w:rsidP="00D50033" w:rsidR="00CC03D3" w:rsidRDefault="00CC03D3" w:rsidRPr="00234E5A">
      <w:pPr>
        <w:spacing w:after="0" w:before="60" w:line="264" w:lineRule="auto"/>
        <w:rPr>
          <w:rFonts w:asciiTheme="minorHAnsi" w:hAnsiTheme="minorHAnsi"/>
          <w:i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>Language Expertise</w:t>
      </w: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>:</w:t>
      </w:r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 </w:t>
      </w:r>
      <w:r w:rsidRPr="000020DF">
        <w:rPr>
          <w:rFonts w:asciiTheme="minorHAnsi" w:hAnsiTheme="minorHAnsi"/>
          <w:b/>
          <w:bCs/>
          <w:iCs/>
          <w:color w:themeColor="text1" w:val="000000"/>
          <w:sz w:val="20"/>
          <w:szCs w:val="22"/>
        </w:rPr>
        <w:t>Tamil</w:t>
      </w:r>
      <w:r w:rsidR="000020DF">
        <w:rPr>
          <w:rFonts w:asciiTheme="minorHAnsi" w:hAnsiTheme="minorHAnsi"/>
          <w:i/>
          <w:color w:themeColor="text1" w:val="000000"/>
          <w:sz w:val="20"/>
          <w:szCs w:val="22"/>
        </w:rPr>
        <w:t>: Fluent</w:t>
      </w:r>
    </w:p>
    <w:p w14:paraId="3A13D7C6" w14:textId="09F8848A" w:rsidP="00D50033" w:rsidR="00CC03D3" w:rsidRDefault="00CC03D3" w:rsidRPr="00234E5A">
      <w:pPr>
        <w:spacing w:after="0" w:before="60" w:line="264" w:lineRule="auto"/>
        <w:rPr>
          <w:rFonts w:asciiTheme="minorHAnsi" w:hAnsiTheme="minorHAnsi"/>
          <w:i/>
          <w:color w:themeColor="text1" w:val="000000"/>
          <w:sz w:val="20"/>
          <w:szCs w:val="22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2"/>
          <w:u w:val="single"/>
        </w:rPr>
        <w:t>Technical Expertise</w:t>
      </w:r>
      <w:r w:rsidRPr="00234E5A">
        <w:rPr>
          <w:rFonts w:asciiTheme="minorHAnsi" w:hAnsiTheme="minorHAnsi"/>
          <w:b/>
          <w:color w:themeColor="text1" w:val="000000"/>
          <w:sz w:val="20"/>
          <w:szCs w:val="22"/>
        </w:rPr>
        <w:t>:</w:t>
      </w:r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 Bloomberg, </w:t>
      </w:r>
      <w:proofErr w:type="spellStart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>Factset</w:t>
      </w:r>
      <w:proofErr w:type="spellEnd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, </w:t>
      </w:r>
      <w:proofErr w:type="spellStart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>Portoflio</w:t>
      </w:r>
      <w:proofErr w:type="spellEnd"/>
      <w:r w:rsidRPr="00234E5A">
        <w:rPr>
          <w:rFonts w:asciiTheme="minorHAnsi" w:hAnsiTheme="minorHAnsi"/>
          <w:i/>
          <w:color w:themeColor="text1" w:val="000000"/>
          <w:sz w:val="20"/>
          <w:szCs w:val="22"/>
        </w:rPr>
        <w:t xml:space="preserve"> Plus, &amp; Microsoft Office Suite</w:t>
      </w:r>
    </w:p>
    <w:p w14:paraId="49553A9A" w14:textId="00BCA172" w:rsidP="00234E5A" w:rsidR="00234E5A" w:rsidRDefault="00234E5A" w:rsidRPr="000020DF">
      <w:pPr>
        <w:pBdr>
          <w:top w:color="auto" w:space="6" w:sz="12" w:val="single"/>
        </w:pBdr>
        <w:spacing w:after="80" w:before="80"/>
        <w:jc w:val="center"/>
        <w:rPr>
          <w:rFonts w:asciiTheme="majorHAnsi" w:hAnsiTheme="majorHAnsi"/>
          <w:b/>
          <w:caps/>
          <w:color w:themeColor="text1" w:val="000000"/>
          <w:szCs w:val="28"/>
        </w:rPr>
      </w:pPr>
      <w:r w:rsidRPr="000020DF">
        <w:rPr>
          <w:rFonts w:asciiTheme="majorHAnsi" w:hAnsiTheme="majorHAnsi"/>
          <w:b/>
          <w:caps/>
          <w:color w:themeColor="text1" w:val="000000"/>
          <w:szCs w:val="28"/>
        </w:rPr>
        <w:t>Honors &amp; Awards</w:t>
      </w:r>
    </w:p>
    <w:p w14:paraId="1BE8B42F" w14:textId="506D1544" w:rsidP="00234E5A" w:rsidR="00234E5A" w:rsidRDefault="00234E5A" w:rsidRPr="00234E5A">
      <w:pPr>
        <w:spacing w:after="0" w:before="20" w:line="264" w:lineRule="auto"/>
        <w:rPr>
          <w:rFonts w:asciiTheme="minorHAnsi" w:hAnsiTheme="minorHAnsi"/>
          <w:color w:themeColor="text1" w:val="000000"/>
          <w:sz w:val="20"/>
          <w:szCs w:val="21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1"/>
        </w:rPr>
        <w:t xml:space="preserve">Forbes: </w:t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t xml:space="preserve">America’s Top Wealth Advisors (2016 – 2018) </w:t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sym w:char="F0B7" w:font="Symbol"/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t xml:space="preserve"> Best-In-State Wealth Advisors (2018)</w:t>
      </w:r>
    </w:p>
    <w:p w14:paraId="3B769CE0" w14:textId="1B5D10F3" w:rsidP="00234E5A" w:rsidR="00234E5A" w:rsidRDefault="00234E5A" w:rsidRPr="00234E5A">
      <w:pPr>
        <w:spacing w:after="0" w:before="20" w:line="264" w:lineRule="auto"/>
        <w:rPr>
          <w:rFonts w:asciiTheme="minorHAnsi" w:hAnsiTheme="minorHAnsi"/>
          <w:color w:themeColor="text1" w:val="000000"/>
          <w:sz w:val="20"/>
          <w:szCs w:val="21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1"/>
        </w:rPr>
        <w:t xml:space="preserve">Barron’s: </w:t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t xml:space="preserve">Top 100 Financial Advisors All-Star </w:t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sym w:char="F0B7" w:font="Symbol"/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t xml:space="preserve"> America’s Top 100 Financial Advisors (2004 – 2018)</w:t>
      </w:r>
    </w:p>
    <w:p w14:paraId="5C5FE882" w14:textId="71B07674" w:rsidP="00234E5A" w:rsidR="00234E5A" w:rsidRDefault="00234E5A" w:rsidRPr="00234E5A">
      <w:pPr>
        <w:spacing w:after="0" w:before="20" w:line="264" w:lineRule="auto"/>
        <w:rPr>
          <w:rFonts w:asciiTheme="minorHAnsi" w:hAnsiTheme="minorHAnsi"/>
          <w:color w:themeColor="text1" w:val="000000"/>
          <w:sz w:val="20"/>
          <w:szCs w:val="21"/>
        </w:rPr>
      </w:pPr>
      <w:r w:rsidRPr="00234E5A">
        <w:rPr>
          <w:rFonts w:asciiTheme="minorHAnsi" w:hAnsiTheme="minorHAnsi"/>
          <w:b/>
          <w:color w:themeColor="text1" w:val="000000"/>
          <w:sz w:val="20"/>
          <w:szCs w:val="21"/>
        </w:rPr>
        <w:t>Financial Times</w:t>
      </w:r>
      <w:r w:rsidRPr="00234E5A">
        <w:rPr>
          <w:rFonts w:asciiTheme="minorHAnsi" w:hAnsiTheme="minorHAnsi"/>
          <w:color w:themeColor="text1" w:val="000000"/>
          <w:sz w:val="20"/>
          <w:szCs w:val="21"/>
        </w:rPr>
        <w:t xml:space="preserve">: Top 400 Financial Advisors (2015 – 2018) </w:t>
      </w:r>
    </w:p>
    <w:sectPr w:rsidR="00234E5A" w:rsidRPr="00234E5A" w:rsidSect="000020DF">
      <w:headerReference r:id="rId7" w:type="default"/>
      <w:footerReference r:id="rId8" w:type="first"/>
      <w:pgSz w:h="15840" w:w="12240"/>
      <w:pgMar w:bottom="1440" w:footer="720" w:gutter="0" w:header="720" w:left="1080" w:right="1080" w:top="144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B390A" w14:textId="77777777" w:rsidR="00963748" w:rsidRDefault="00963748" w:rsidP="00EA1614">
      <w:pPr>
        <w:spacing w:after="0"/>
      </w:pPr>
      <w:r>
        <w:separator/>
      </w:r>
    </w:p>
  </w:endnote>
  <w:endnote w:type="continuationSeparator" w:id="0">
    <w:p w14:paraId="7AB33437" w14:textId="77777777" w:rsidR="00963748" w:rsidRDefault="00963748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F89796D" w14:textId="1E29B33C" w:rsidP="000020DF" w:rsidR="000020DF" w:rsidRDefault="000020DF" w:rsidRPr="000020DF">
    <w:pPr>
      <w:pStyle w:val="Footer"/>
      <w:jc w:val="right"/>
      <w:rPr>
        <w:sz w:val="20"/>
        <w:szCs w:val="20"/>
        <w:lang w:val="en-GB"/>
      </w:rPr>
    </w:pPr>
    <w:r w:rsidRPr="000020DF">
      <w:rPr>
        <w:sz w:val="20"/>
        <w:szCs w:val="20"/>
        <w:lang w:val="en-GB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BA85F9C" w14:textId="77777777" w:rsidP="00EA1614" w:rsidR="00963748" w:rsidRDefault="00963748">
      <w:pPr>
        <w:spacing w:after="0"/>
      </w:pPr>
      <w:r>
        <w:separator/>
      </w:r>
    </w:p>
  </w:footnote>
  <w:footnote w:id="0" w:type="continuationSeparator">
    <w:p w14:paraId="2453F631" w14:textId="77777777" w:rsidP="00EA1614" w:rsidR="00963748" w:rsidRDefault="00963748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A07824" w14:textId="018F1EBF" w:rsidP="00EA1614" w:rsidR="00EA1614" w:rsidRDefault="000020DF" w:rsidRPr="00563E5A">
    <w:pPr>
      <w:spacing w:after="0"/>
      <w:jc w:val="center"/>
      <w:rPr>
        <w:rFonts w:ascii="Book Antiqua" w:hAnsi="Book Antiqua"/>
        <w:b/>
        <w:sz w:val="36"/>
        <w:szCs w:val="36"/>
      </w:rPr>
    </w:pPr>
    <w:proofErr w:type="spellStart"/>
    <w:r w:rsidRPr="000020DF">
      <w:rPr>
        <w:rFonts w:ascii="Book Antiqua" w:hAnsi="Book Antiqua"/>
        <w:b/>
        <w:sz w:val="36"/>
        <w:szCs w:val="36"/>
      </w:rPr>
      <w:t>Suhaila</w:t>
    </w:r>
    <w:proofErr w:type="spellEnd"/>
    <w:r w:rsidRPr="000020DF">
      <w:rPr>
        <w:rFonts w:ascii="Book Antiqua" w:hAnsi="Book Antiqua"/>
        <w:b/>
        <w:sz w:val="36"/>
        <w:szCs w:val="36"/>
      </w:rPr>
      <w:t xml:space="preserve"> (Sue) </w:t>
    </w:r>
    <w:proofErr w:type="spellStart"/>
    <w:r w:rsidRPr="000020DF">
      <w:rPr>
        <w:rFonts w:ascii="Book Antiqua" w:hAnsi="Book Antiqua"/>
        <w:b/>
        <w:sz w:val="36"/>
        <w:szCs w:val="36"/>
      </w:rPr>
      <w:t>Amalanayagam</w:t>
    </w:r>
    <w:proofErr w:type="spellEnd"/>
  </w:p>
  <w:p w14:paraId="7E2DD50A" w14:textId="77777777" w:rsidP="00EA1614" w:rsidR="00EA1614" w:rsidRDefault="00EA1614" w:rsidRPr="00563E5A">
    <w:pPr>
      <w:pBdr>
        <w:bottom w:color="auto" w:space="1" w:sz="12" w:val="single"/>
      </w:pBdr>
      <w:spacing w:after="0"/>
      <w:jc w:val="center"/>
      <w:rPr>
        <w:rFonts w:ascii="Book Antiqua" w:hAnsi="Book Antiqua"/>
        <w:i/>
        <w:sz w:val="22"/>
        <w:szCs w:val="22"/>
      </w:rPr>
    </w:pPr>
    <w:r>
      <w:rPr>
        <w:rFonts w:ascii="Book Antiqua" w:hAnsi="Book Antiqua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E027410"/>
    <w:multiLevelType w:val="hybridMultilevel"/>
    <w:tmpl w:val="C09832D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28C5FAD"/>
    <w:multiLevelType w:val="hybridMultilevel"/>
    <w:tmpl w:val="83EEDA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5E"/>
    <w:rsid w:val="000020DF"/>
    <w:rsid w:val="0000473A"/>
    <w:rsid w:val="000159CA"/>
    <w:rsid w:val="000A15D0"/>
    <w:rsid w:val="001100CA"/>
    <w:rsid w:val="00120F60"/>
    <w:rsid w:val="0017273F"/>
    <w:rsid w:val="0018276F"/>
    <w:rsid w:val="00195F5B"/>
    <w:rsid w:val="00234E5A"/>
    <w:rsid w:val="00237347"/>
    <w:rsid w:val="00244630"/>
    <w:rsid w:val="002C3C8E"/>
    <w:rsid w:val="00340670"/>
    <w:rsid w:val="00366694"/>
    <w:rsid w:val="00375CE4"/>
    <w:rsid w:val="003F241A"/>
    <w:rsid w:val="0040613E"/>
    <w:rsid w:val="004306E2"/>
    <w:rsid w:val="004451B2"/>
    <w:rsid w:val="004863F8"/>
    <w:rsid w:val="00496592"/>
    <w:rsid w:val="004A44B9"/>
    <w:rsid w:val="004D121C"/>
    <w:rsid w:val="004D7991"/>
    <w:rsid w:val="00563E5A"/>
    <w:rsid w:val="00572472"/>
    <w:rsid w:val="00577290"/>
    <w:rsid w:val="00586F84"/>
    <w:rsid w:val="00591BB8"/>
    <w:rsid w:val="005A460A"/>
    <w:rsid w:val="005F56B1"/>
    <w:rsid w:val="00632CB6"/>
    <w:rsid w:val="00654C1E"/>
    <w:rsid w:val="006831D7"/>
    <w:rsid w:val="00686CC2"/>
    <w:rsid w:val="007C4814"/>
    <w:rsid w:val="007D1CE4"/>
    <w:rsid w:val="00883A5E"/>
    <w:rsid w:val="008B7DD7"/>
    <w:rsid w:val="00963748"/>
    <w:rsid w:val="009701C1"/>
    <w:rsid w:val="00997540"/>
    <w:rsid w:val="009C724F"/>
    <w:rsid w:val="009D688A"/>
    <w:rsid w:val="00A14D63"/>
    <w:rsid w:val="00A66A5E"/>
    <w:rsid w:val="00B43DCB"/>
    <w:rsid w:val="00BC61EC"/>
    <w:rsid w:val="00C17D67"/>
    <w:rsid w:val="00CC03D3"/>
    <w:rsid w:val="00CE0DBF"/>
    <w:rsid w:val="00D00121"/>
    <w:rsid w:val="00D44B25"/>
    <w:rsid w:val="00D50033"/>
    <w:rsid w:val="00D947B8"/>
    <w:rsid w:val="00DA3551"/>
    <w:rsid w:val="00DA719E"/>
    <w:rsid w:val="00E10BA3"/>
    <w:rsid w:val="00E142AB"/>
    <w:rsid w:val="00EA1614"/>
    <w:rsid w:val="00EB139C"/>
    <w:rsid w:val="00F126B1"/>
    <w:rsid w:val="00F34FB0"/>
    <w:rsid w:val="00F87CE5"/>
    <w:rsid w:val="00FE40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Suhaila Amalanayagam's Resume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2020-05-16T08:59:00Z</dcterms:created>
  <dc:creator>Suhaila Amalanayagam</dc:creator>
  <cp:lastModifiedBy>Suhaila Amalanayagam</cp:lastModifiedBy>
  <cp:lastPrinted>2017-01-16T17:13:00Z</cp:lastPrinted>
  <dcterms:modified xsi:type="dcterms:W3CDTF">2020-05-16T08:59:00Z</dcterms:modified>
  <cp:revision>2</cp:revision>
  <dc:title>Suhaila Amalanayagam's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fmtid="{D5CDD505-2E9C-101B-9397-08002B2CF9AE}" name="tal_id" pid="3">
    <vt:lpwstr>e97c50d765f158010f02478c2287cbbe</vt:lpwstr>
  </property>
  <property fmtid="{D5CDD505-2E9C-101B-9397-08002B2CF9AE}" name="app_source" pid="4">
    <vt:lpwstr>rezbiz</vt:lpwstr>
  </property>
  <property fmtid="{D5CDD505-2E9C-101B-9397-08002B2CF9AE}" name="app_id" pid="5">
    <vt:lpwstr>577630</vt:lpwstr>
  </property>
</Properties>
</file>