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Fernweh</w:t>
      </w:r>
    </w:p>
    <w:p>
      <w:pPr>
        <w:spacing w:after="300"/>
      </w:pPr>
      <w:r>
        <w:t xml:space="preserve">1 September 2026</w:t>
      </w:r>
    </w:p>
    <w:p>
      <w:pPr>
        <w:spacing w:after="220"/>
      </w:pPr>
      <w:r>
        <w:t xml:space="preserve">August revenue came in at $87k, up from $58k in July, driven mostly by the pre-order page going live on the second week of the month.</w:t>
      </w:r>
    </w:p>
    <w:p>
      <w:pPr>
        <w:spacing w:after="220"/>
      </w:pPr>
      <w:r>
        <w:t xml:space="preserve">The first production run is on track for a November ship date. We've locked pricing on the injection-molded body and are finalizing the leather supplier for the strap.</w:t>
      </w:r>
    </w:p>
    <w:p>
      <w:pPr>
        <w:spacing w:after="220"/>
      </w:pPr>
      <w:r>
        <w:t xml:space="preserve">We're opening a small round to fund the second production run — details in the attached one-pager.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2026-09-04T10:53:20.909Z</dcterms:created>
  <dcterms:modified xsi:type="dcterms:W3CDTF">2026-09-04T10:53:20.909Z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