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Kestrel Studio</w:t>
      </w:r>
    </w:p>
    <w:p>
      <w:pPr>
        <w:spacing w:after="300"/>
      </w:pPr>
      <w:r>
        <w:t xml:space="preserve">2 August 2026</w:t>
      </w:r>
    </w:p>
    <w:p>
      <w:pPr>
        <w:spacing w:after="220"/>
      </w:pPr>
      <w:r>
        <w:t xml:space="preserve">This letter confirms Kestrel Studio's engagement for the Meridian House renovation, covering design development, construction documentation, and periodic site observation through substantial completion.</w:t>
      </w:r>
    </w:p>
    <w:p>
      <w:pPr>
        <w:spacing w:after="220"/>
      </w:pPr>
      <w:r>
        <w:t xml:space="preserve">Fees are structured as a fixed percentage of construction cost, invoiced monthly against the schedule of services attached to this agreement. Reimbursable expenses (printing, site visit travel) are billed at cost.</w:t>
      </w:r>
    </w:p>
    <w:p>
      <w:pPr>
        <w:spacing w:after="220"/>
      </w:pPr>
      <w:r>
        <w:t xml:space="preserve">Please countersign and return one copy to begin work on the week of the 10th.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2026-09-04T10:53:20.168Z</dcterms:created>
  <dcterms:modified xsi:type="dcterms:W3CDTF">2026-09-04T10:53:20.168Z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